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val="0"/>
        <w:bidi w:val="0"/>
        <w:adjustRightInd/>
        <w:snapToGrid/>
        <w:spacing w:line="604" w:lineRule="exact"/>
        <w:jc w:val="center"/>
        <w:textAlignment w:val="auto"/>
        <w:rPr>
          <w:rFonts w:hint="eastAsia" w:ascii="方正小标宋简体" w:hAnsi="方正小标宋简体" w:eastAsia="方正小标宋简体" w:cs="方正小标宋简体"/>
          <w:sz w:val="44"/>
          <w:szCs w:val="44"/>
        </w:rPr>
      </w:pPr>
      <w:bookmarkStart w:id="0" w:name="_MON_1679943142"/>
      <w:bookmarkEnd w:id="0"/>
      <w:bookmarkStart w:id="1" w:name="OLE_LINK1"/>
    </w:p>
    <w:p>
      <w:pPr>
        <w:pStyle w:val="2"/>
        <w:keepNext w:val="0"/>
        <w:keepLines w:val="0"/>
        <w:pageBreakBefore w:val="0"/>
        <w:widowControl w:val="0"/>
        <w:kinsoku/>
        <w:overflowPunct/>
        <w:topLinePunct w:val="0"/>
        <w:autoSpaceDE/>
        <w:bidi w:val="0"/>
        <w:adjustRightInd/>
        <w:snapToGrid/>
        <w:spacing w:after="0" w:line="604" w:lineRule="exact"/>
        <w:textAlignment w:val="auto"/>
        <w:rPr>
          <w:rFonts w:hint="eastAsia"/>
        </w:rPr>
      </w:pPr>
    </w:p>
    <w:p>
      <w:pPr>
        <w:keepNext w:val="0"/>
        <w:keepLines w:val="0"/>
        <w:pageBreakBefore w:val="0"/>
        <w:widowControl w:val="0"/>
        <w:kinsoku/>
        <w:wordWrap/>
        <w:overflowPunct/>
        <w:topLinePunct w:val="0"/>
        <w:autoSpaceDE/>
        <w:autoSpaceDN w:val="0"/>
        <w:bidi w:val="0"/>
        <w:adjustRightInd/>
        <w:snapToGrid/>
        <w:spacing w:line="604" w:lineRule="exact"/>
        <w:ind w:left="0" w:leftChars="0" w:right="0" w:rightChars="0"/>
        <w:jc w:val="righ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珠府办函〔</w:t>
      </w:r>
      <w:r>
        <w:rPr>
          <w:rFonts w:hint="eastAsia" w:ascii="仿宋_GB2312" w:hAnsi="仿宋_GB2312" w:eastAsia="仿宋_GB2312" w:cs="仿宋_GB2312"/>
          <w:sz w:val="32"/>
          <w:szCs w:val="32"/>
          <w:lang w:val="en-US" w:eastAsia="zh-CN"/>
        </w:rPr>
        <w:t>2021〕103号</w:t>
      </w:r>
    </w:p>
    <w:p>
      <w:pPr>
        <w:keepNext w:val="0"/>
        <w:keepLines w:val="0"/>
        <w:pageBreakBefore w:val="0"/>
        <w:widowControl w:val="0"/>
        <w:kinsoku/>
        <w:wordWrap/>
        <w:overflowPunct/>
        <w:topLinePunct w:val="0"/>
        <w:autoSpaceDE/>
        <w:autoSpaceDN w:val="0"/>
        <w:bidi w:val="0"/>
        <w:adjustRightInd/>
        <w:snapToGrid/>
        <w:spacing w:line="604"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val="0"/>
        <w:bidi w:val="0"/>
        <w:adjustRightInd/>
        <w:snapToGrid/>
        <w:spacing w:line="604"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珠海市人民政府办公室</w:t>
      </w:r>
      <w:r>
        <w:rPr>
          <w:rFonts w:hint="eastAsia" w:ascii="方正小标宋简体" w:hAnsi="方正小标宋简体" w:eastAsia="方正小标宋简体" w:cs="方正小标宋简体"/>
          <w:sz w:val="44"/>
          <w:szCs w:val="44"/>
        </w:rPr>
        <w:t>关于在全市复制</w:t>
      </w:r>
    </w:p>
    <w:p>
      <w:pPr>
        <w:keepNext w:val="0"/>
        <w:keepLines w:val="0"/>
        <w:pageBreakBefore w:val="0"/>
        <w:widowControl w:val="0"/>
        <w:kinsoku/>
        <w:wordWrap/>
        <w:overflowPunct/>
        <w:topLinePunct w:val="0"/>
        <w:autoSpaceDE/>
        <w:autoSpaceDN w:val="0"/>
        <w:bidi w:val="0"/>
        <w:adjustRightInd/>
        <w:snapToGrid/>
        <w:spacing w:line="604"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推广横琴自贸试验片区第</w:t>
      </w:r>
      <w:r>
        <w:rPr>
          <w:rFonts w:hint="eastAsia" w:ascii="方正小标宋简体" w:hAnsi="方正小标宋简体" w:eastAsia="方正小标宋简体" w:cs="方正小标宋简体"/>
          <w:sz w:val="44"/>
          <w:szCs w:val="44"/>
          <w:lang w:eastAsia="zh-CN"/>
        </w:rPr>
        <w:t>五</w:t>
      </w:r>
      <w:r>
        <w:rPr>
          <w:rFonts w:hint="eastAsia" w:ascii="方正小标宋简体" w:hAnsi="方正小标宋简体" w:eastAsia="方正小标宋简体" w:cs="方正小标宋简体"/>
          <w:sz w:val="44"/>
          <w:szCs w:val="44"/>
        </w:rPr>
        <w:t>批</w:t>
      </w:r>
    </w:p>
    <w:p>
      <w:pPr>
        <w:keepNext w:val="0"/>
        <w:keepLines w:val="0"/>
        <w:pageBreakBefore w:val="0"/>
        <w:widowControl w:val="0"/>
        <w:kinsoku/>
        <w:wordWrap/>
        <w:overflowPunct/>
        <w:topLinePunct w:val="0"/>
        <w:autoSpaceDE/>
        <w:autoSpaceDN w:val="0"/>
        <w:bidi w:val="0"/>
        <w:adjustRightInd/>
        <w:snapToGrid/>
        <w:spacing w:line="604"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改革创新措施的通知</w:t>
      </w:r>
    </w:p>
    <w:p>
      <w:pPr>
        <w:keepNext w:val="0"/>
        <w:keepLines w:val="0"/>
        <w:pageBreakBefore w:val="0"/>
        <w:widowControl w:val="0"/>
        <w:kinsoku/>
        <w:wordWrap/>
        <w:overflowPunct/>
        <w:topLinePunct w:val="0"/>
        <w:autoSpaceDE/>
        <w:autoSpaceDN w:val="0"/>
        <w:bidi w:val="0"/>
        <w:adjustRightInd/>
        <w:snapToGrid/>
        <w:spacing w:line="604"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val="0"/>
        <w:bidi w:val="0"/>
        <w:adjustRightInd/>
        <w:snapToGrid/>
        <w:spacing w:line="604" w:lineRule="exact"/>
        <w:jc w:val="left"/>
        <w:textAlignment w:val="auto"/>
        <w:rPr>
          <w:rFonts w:hint="eastAsia" w:ascii="仿宋" w:hAnsi="仿宋" w:eastAsia="仿宋" w:cs="仿宋"/>
          <w:sz w:val="32"/>
          <w:szCs w:val="32"/>
        </w:rPr>
      </w:pPr>
      <w:r>
        <w:rPr>
          <w:rFonts w:hint="eastAsia" w:ascii="仿宋" w:hAnsi="仿宋" w:eastAsia="仿宋" w:cs="仿宋"/>
          <w:sz w:val="32"/>
          <w:szCs w:val="32"/>
        </w:rPr>
        <w:t>横琴新区管委会，各区政府（管委会），市</w:t>
      </w:r>
      <w:r>
        <w:rPr>
          <w:rFonts w:hint="eastAsia" w:ascii="仿宋" w:hAnsi="仿宋" w:eastAsia="仿宋" w:cs="仿宋"/>
          <w:sz w:val="32"/>
          <w:szCs w:val="32"/>
          <w:lang w:eastAsia="zh-CN"/>
        </w:rPr>
        <w:t>政府各部门、各直属机构</w:t>
      </w:r>
      <w:r>
        <w:rPr>
          <w:rFonts w:hint="eastAsia" w:ascii="仿宋" w:hAnsi="仿宋" w:eastAsia="仿宋" w:cs="仿宋"/>
          <w:sz w:val="32"/>
          <w:szCs w:val="32"/>
        </w:rPr>
        <w:t>：</w:t>
      </w:r>
    </w:p>
    <w:p>
      <w:pPr>
        <w:keepNext w:val="0"/>
        <w:keepLines w:val="0"/>
        <w:pageBreakBefore w:val="0"/>
        <w:widowControl w:val="0"/>
        <w:kinsoku/>
        <w:overflowPunct/>
        <w:topLinePunct w:val="0"/>
        <w:autoSpaceDE/>
        <w:bidi w:val="0"/>
        <w:adjustRightInd/>
        <w:snapToGrid/>
        <w:spacing w:line="604"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rPr>
        <w:t>为充分发挥横琴自贸试验片区的示范引领作用，按照市委、市政府工作部署，</w:t>
      </w:r>
      <w:r>
        <w:rPr>
          <w:rFonts w:hint="eastAsia" w:ascii="仿宋" w:hAnsi="仿宋" w:eastAsia="仿宋" w:cs="仿宋"/>
          <w:sz w:val="32"/>
        </w:rPr>
        <w:t>现将横琴自贸试验片区第</w:t>
      </w:r>
      <w:r>
        <w:rPr>
          <w:rFonts w:hint="eastAsia" w:ascii="仿宋" w:hAnsi="仿宋" w:eastAsia="仿宋" w:cs="仿宋"/>
          <w:spacing w:val="0"/>
          <w:sz w:val="32"/>
        </w:rPr>
        <w:t>五</w:t>
      </w:r>
      <w:r>
        <w:rPr>
          <w:rFonts w:hint="eastAsia" w:ascii="仿宋" w:hAnsi="仿宋" w:eastAsia="仿宋" w:cs="仿宋"/>
          <w:sz w:val="32"/>
        </w:rPr>
        <w:t>批（共</w:t>
      </w:r>
      <w:r>
        <w:rPr>
          <w:rFonts w:hint="eastAsia" w:ascii="仿宋" w:hAnsi="仿宋" w:eastAsia="仿宋" w:cs="仿宋"/>
          <w:spacing w:val="0"/>
          <w:sz w:val="32"/>
        </w:rPr>
        <w:t>12</w:t>
      </w:r>
      <w:r>
        <w:rPr>
          <w:rFonts w:hint="eastAsia" w:ascii="仿宋" w:hAnsi="仿宋" w:eastAsia="仿宋" w:cs="仿宋"/>
          <w:sz w:val="32"/>
        </w:rPr>
        <w:t>项）较为成熟的改革创新措施向全市复制推广。各区、各有关单位要高度重视横琴自贸试验片区改革创新措施的复制推广工作，各牵头单位要抓紧制订相应的工作方案，确保复制推广工作落到实处、取得实效。市商务局、市自贸办和有关责任单位要认真做好政策宣传解读工作，引导市场主体用足用好相关政策。市自贸办要加强统筹协调，抓好督促落实，及时向</w:t>
      </w:r>
      <w:r>
        <w:rPr>
          <w:rFonts w:hint="eastAsia" w:ascii="仿宋" w:hAnsi="仿宋" w:eastAsia="仿宋" w:cs="仿宋"/>
          <w:sz w:val="32"/>
          <w:szCs w:val="32"/>
        </w:rPr>
        <w:t>横琴自贸试验片区建设工作领导小组汇报</w:t>
      </w:r>
      <w:r>
        <w:rPr>
          <w:rFonts w:hint="eastAsia" w:ascii="仿宋" w:hAnsi="仿宋" w:eastAsia="仿宋" w:cs="仿宋"/>
          <w:sz w:val="32"/>
        </w:rPr>
        <w:t>工作进度，积极做好经验总结，为将改革创新措施向全省乃至全国推广做好前期准备。</w:t>
      </w:r>
    </w:p>
    <w:p>
      <w:pPr>
        <w:keepNext w:val="0"/>
        <w:keepLines w:val="0"/>
        <w:pageBreakBefore w:val="0"/>
        <w:widowControl w:val="0"/>
        <w:kinsoku/>
        <w:overflowPunct/>
        <w:topLinePunct w:val="0"/>
        <w:autoSpaceDE/>
        <w:bidi w:val="0"/>
        <w:adjustRightInd/>
        <w:snapToGrid/>
        <w:spacing w:line="604" w:lineRule="exact"/>
        <w:ind w:left="1590" w:leftChars="300" w:hanging="960" w:hangingChars="300"/>
        <w:textAlignment w:val="auto"/>
        <w:rPr>
          <w:rFonts w:hint="eastAsia" w:ascii="仿宋" w:hAnsi="仿宋" w:eastAsia="仿宋" w:cs="仿宋"/>
          <w:kern w:val="0"/>
          <w:sz w:val="32"/>
          <w:szCs w:val="32"/>
        </w:rPr>
        <w:sectPr>
          <w:footerReference r:id="rId3" w:type="default"/>
          <w:pgSz w:w="11906" w:h="16838"/>
          <w:pgMar w:top="2041" w:right="1531" w:bottom="2041" w:left="1531" w:header="851" w:footer="1531" w:gutter="0"/>
          <w:pgNumType w:fmt="decimal" w:start="2"/>
          <w:cols w:space="720" w:num="1"/>
          <w:rtlGutter w:val="0"/>
          <w:docGrid w:type="lines" w:linePitch="554" w:charSpace="0"/>
        </w:sectPr>
      </w:pPr>
    </w:p>
    <w:p>
      <w:pPr>
        <w:keepNext w:val="0"/>
        <w:keepLines w:val="0"/>
        <w:pageBreakBefore w:val="0"/>
        <w:widowControl w:val="0"/>
        <w:kinsoku/>
        <w:overflowPunct/>
        <w:topLinePunct w:val="0"/>
        <w:autoSpaceDE/>
        <w:bidi w:val="0"/>
        <w:adjustRightInd/>
        <w:snapToGrid/>
        <w:spacing w:line="604" w:lineRule="exact"/>
        <w:ind w:left="1590" w:leftChars="300" w:hanging="960" w:hangingChars="300"/>
        <w:textAlignment w:val="auto"/>
        <w:rPr>
          <w:rFonts w:hint="eastAsia" w:ascii="仿宋" w:hAnsi="仿宋" w:eastAsia="仿宋" w:cs="仿宋"/>
          <w:sz w:val="32"/>
        </w:rPr>
      </w:pPr>
      <w:r>
        <w:rPr>
          <w:rFonts w:hint="eastAsia" w:ascii="仿宋" w:hAnsi="仿宋" w:eastAsia="仿宋" w:cs="仿宋"/>
          <w:kern w:val="0"/>
          <w:sz w:val="32"/>
          <w:szCs w:val="32"/>
        </w:rPr>
        <w:t>附件：</w:t>
      </w:r>
      <w:r>
        <w:rPr>
          <w:rFonts w:hint="eastAsia" w:ascii="仿宋" w:hAnsi="仿宋" w:eastAsia="仿宋" w:cs="仿宋"/>
          <w:sz w:val="32"/>
        </w:rPr>
        <w:t>横琴自贸试验片区第</w:t>
      </w:r>
      <w:r>
        <w:rPr>
          <w:rFonts w:hint="eastAsia" w:ascii="仿宋" w:hAnsi="仿宋" w:eastAsia="仿宋" w:cs="仿宋"/>
          <w:spacing w:val="0"/>
          <w:sz w:val="32"/>
        </w:rPr>
        <w:t>五</w:t>
      </w:r>
      <w:r>
        <w:rPr>
          <w:rFonts w:hint="eastAsia" w:ascii="仿宋" w:hAnsi="仿宋" w:eastAsia="仿宋" w:cs="仿宋"/>
          <w:sz w:val="32"/>
        </w:rPr>
        <w:t>批可在全市复制推广的改革创新措施</w:t>
      </w:r>
    </w:p>
    <w:p>
      <w:pPr>
        <w:keepNext w:val="0"/>
        <w:keepLines w:val="0"/>
        <w:pageBreakBefore w:val="0"/>
        <w:widowControl w:val="0"/>
        <w:kinsoku/>
        <w:overflowPunct/>
        <w:topLinePunct w:val="0"/>
        <w:autoSpaceDE/>
        <w:bidi w:val="0"/>
        <w:adjustRightInd/>
        <w:snapToGrid/>
        <w:spacing w:line="604" w:lineRule="exact"/>
        <w:ind w:firstLine="0" w:firstLineChars="0"/>
        <w:textAlignment w:val="auto"/>
        <w:rPr>
          <w:rFonts w:hint="eastAsia" w:ascii="仿宋" w:hAnsi="仿宋" w:eastAsia="仿宋" w:cs="仿宋"/>
          <w:sz w:val="32"/>
          <w:szCs w:val="32"/>
        </w:rPr>
      </w:pPr>
    </w:p>
    <w:p>
      <w:pPr>
        <w:keepNext w:val="0"/>
        <w:keepLines w:val="0"/>
        <w:pageBreakBefore w:val="0"/>
        <w:widowControl w:val="0"/>
        <w:tabs>
          <w:tab w:val="left" w:pos="7426"/>
          <w:tab w:val="left" w:pos="7584"/>
          <w:tab w:val="left" w:pos="7900"/>
        </w:tabs>
        <w:kinsoku/>
        <w:wordWrap w:val="0"/>
        <w:overflowPunct/>
        <w:topLinePunct w:val="0"/>
        <w:autoSpaceDE/>
        <w:bidi w:val="0"/>
        <w:adjustRightInd/>
        <w:snapToGrid/>
        <w:spacing w:line="604" w:lineRule="exact"/>
        <w:ind w:firstLine="0" w:firstLineChars="0"/>
        <w:jc w:val="right"/>
        <w:textAlignment w:val="auto"/>
        <w:rPr>
          <w:rFonts w:hint="eastAsia" w:ascii="仿宋" w:hAnsi="仿宋" w:eastAsia="仿宋" w:cs="仿宋"/>
          <w:sz w:val="32"/>
          <w:szCs w:val="32"/>
        </w:rPr>
      </w:pPr>
    </w:p>
    <w:p>
      <w:pPr>
        <w:keepNext w:val="0"/>
        <w:keepLines w:val="0"/>
        <w:pageBreakBefore w:val="0"/>
        <w:widowControl w:val="0"/>
        <w:tabs>
          <w:tab w:val="left" w:pos="7426"/>
          <w:tab w:val="left" w:pos="7584"/>
          <w:tab w:val="left" w:pos="7900"/>
        </w:tabs>
        <w:kinsoku/>
        <w:wordWrap w:val="0"/>
        <w:overflowPunct/>
        <w:topLinePunct w:val="0"/>
        <w:autoSpaceDE/>
        <w:bidi w:val="0"/>
        <w:adjustRightInd/>
        <w:snapToGrid/>
        <w:spacing w:line="604" w:lineRule="exact"/>
        <w:ind w:firstLine="0" w:firstLineChars="0"/>
        <w:jc w:val="right"/>
        <w:textAlignment w:val="auto"/>
        <w:rPr>
          <w:rFonts w:hint="eastAsia" w:ascii="仿宋" w:hAnsi="仿宋" w:eastAsia="仿宋" w:cs="仿宋"/>
          <w:sz w:val="32"/>
          <w:szCs w:val="32"/>
        </w:rPr>
      </w:pPr>
    </w:p>
    <w:p>
      <w:pPr>
        <w:keepNext w:val="0"/>
        <w:keepLines w:val="0"/>
        <w:pageBreakBefore w:val="0"/>
        <w:widowControl w:val="0"/>
        <w:tabs>
          <w:tab w:val="left" w:pos="7426"/>
          <w:tab w:val="left" w:pos="7584"/>
          <w:tab w:val="left" w:pos="7900"/>
        </w:tabs>
        <w:kinsoku/>
        <w:wordWrap w:val="0"/>
        <w:overflowPunct/>
        <w:topLinePunct w:val="0"/>
        <w:autoSpaceDE/>
        <w:bidi w:val="0"/>
        <w:adjustRightInd/>
        <w:snapToGrid/>
        <w:spacing w:line="604" w:lineRule="exact"/>
        <w:ind w:firstLine="0" w:firstLineChars="0"/>
        <w:jc w:val="right"/>
        <w:textAlignment w:val="auto"/>
        <w:rPr>
          <w:rFonts w:hint="eastAsia" w:ascii="仿宋" w:hAnsi="仿宋" w:eastAsia="仿宋" w:cs="仿宋"/>
          <w:sz w:val="32"/>
          <w:szCs w:val="32"/>
        </w:rPr>
      </w:pPr>
      <w:r>
        <w:rPr>
          <w:rFonts w:hint="eastAsia" w:ascii="仿宋" w:hAnsi="仿宋" w:eastAsia="仿宋" w:cs="仿宋"/>
          <w:sz w:val="32"/>
          <w:szCs w:val="32"/>
        </w:rPr>
        <w:t>珠海市人民政府办公室</w:t>
      </w:r>
      <w:r>
        <w:rPr>
          <w:rFonts w:hint="eastAsia" w:ascii="仿宋" w:hAnsi="仿宋" w:eastAsia="仿宋" w:cs="仿宋"/>
          <w:sz w:val="32"/>
          <w:szCs w:val="32"/>
          <w:lang w:eastAsia="zh-CN"/>
        </w:rPr>
        <w:t>　　　</w:t>
      </w:r>
    </w:p>
    <w:p>
      <w:pPr>
        <w:keepNext w:val="0"/>
        <w:keepLines w:val="0"/>
        <w:pageBreakBefore w:val="0"/>
        <w:widowControl w:val="0"/>
        <w:tabs>
          <w:tab w:val="left" w:pos="7584"/>
          <w:tab w:val="left" w:pos="7742"/>
        </w:tabs>
        <w:kinsoku/>
        <w:wordWrap w:val="0"/>
        <w:overflowPunct/>
        <w:topLinePunct w:val="0"/>
        <w:autoSpaceDE/>
        <w:bidi w:val="0"/>
        <w:adjustRightInd/>
        <w:snapToGrid/>
        <w:spacing w:line="604" w:lineRule="exact"/>
        <w:ind w:right="0" w:rightChars="0" w:firstLine="0" w:firstLineChars="0"/>
        <w:jc w:val="right"/>
        <w:textAlignment w:val="auto"/>
        <w:rPr>
          <w:rFonts w:hint="eastAsia" w:ascii="仿宋" w:hAnsi="仿宋" w:eastAsia="仿宋" w:cs="仿宋"/>
          <w:sz w:val="32"/>
          <w:szCs w:val="32"/>
        </w:rPr>
      </w:pPr>
      <w:r>
        <w:rPr>
          <w:rFonts w:hint="eastAsia" w:ascii="仿宋" w:hAnsi="仿宋" w:eastAsia="仿宋" w:cs="仿宋"/>
          <w:spacing w:val="0"/>
          <w:sz w:val="32"/>
          <w:szCs w:val="32"/>
        </w:rPr>
        <w:t>2021</w:t>
      </w:r>
      <w:r>
        <w:rPr>
          <w:rFonts w:hint="eastAsia" w:ascii="仿宋" w:hAnsi="仿宋" w:eastAsia="仿宋" w:cs="仿宋"/>
          <w:sz w:val="32"/>
          <w:szCs w:val="32"/>
        </w:rPr>
        <w:t>年</w:t>
      </w:r>
      <w:r>
        <w:rPr>
          <w:rFonts w:hint="eastAsia" w:ascii="仿宋" w:hAnsi="仿宋" w:eastAsia="仿宋" w:cs="仿宋"/>
          <w:spacing w:val="0"/>
          <w:sz w:val="32"/>
          <w:szCs w:val="32"/>
        </w:rPr>
        <w:t>7</w:t>
      </w:r>
      <w:r>
        <w:rPr>
          <w:rFonts w:hint="eastAsia" w:ascii="仿宋" w:hAnsi="仿宋" w:eastAsia="仿宋" w:cs="仿宋"/>
          <w:sz w:val="32"/>
          <w:szCs w:val="32"/>
        </w:rPr>
        <w:t>月</w:t>
      </w:r>
      <w:r>
        <w:rPr>
          <w:rFonts w:hint="eastAsia" w:ascii="仿宋" w:hAnsi="仿宋" w:eastAsia="仿宋" w:cs="仿宋"/>
          <w:spacing w:val="0"/>
          <w:sz w:val="32"/>
          <w:szCs w:val="32"/>
          <w:lang w:val="en-US" w:eastAsia="zh-CN"/>
        </w:rPr>
        <w:t>30</w:t>
      </w:r>
      <w:r>
        <w:rPr>
          <w:rFonts w:hint="eastAsia" w:ascii="仿宋" w:hAnsi="仿宋" w:eastAsia="仿宋" w:cs="仿宋"/>
          <w:sz w:val="32"/>
          <w:szCs w:val="32"/>
        </w:rPr>
        <w:t>日</w:t>
      </w:r>
      <w:r>
        <w:rPr>
          <w:rFonts w:hint="eastAsia" w:ascii="仿宋" w:hAnsi="仿宋" w:eastAsia="仿宋" w:cs="仿宋"/>
          <w:sz w:val="32"/>
          <w:szCs w:val="32"/>
          <w:lang w:eastAsia="zh-CN"/>
        </w:rPr>
        <w:t>　　　　</w:t>
      </w:r>
    </w:p>
    <w:p>
      <w:pPr>
        <w:keepNext w:val="0"/>
        <w:keepLines w:val="0"/>
        <w:pageBreakBefore w:val="0"/>
        <w:widowControl w:val="0"/>
        <w:kinsoku/>
        <w:overflowPunct/>
        <w:topLinePunct w:val="0"/>
        <w:autoSpaceDE/>
        <w:bidi w:val="0"/>
        <w:adjustRightInd/>
        <w:snapToGrid/>
        <w:spacing w:line="579" w:lineRule="exact"/>
        <w:jc w:val="left"/>
        <w:textAlignment w:val="auto"/>
        <w:rPr>
          <w:rFonts w:ascii="黑体" w:hAnsi="黑体" w:eastAsia="黑体" w:cs="黑体"/>
          <w:color w:val="000000"/>
          <w:spacing w:val="0"/>
          <w:sz w:val="32"/>
          <w:szCs w:val="32"/>
        </w:rPr>
        <w:sectPr>
          <w:footerReference r:id="rId4" w:type="default"/>
          <w:pgSz w:w="11906" w:h="16838"/>
          <w:pgMar w:top="2041" w:right="1531" w:bottom="2041" w:left="1531" w:header="851" w:footer="1531" w:gutter="0"/>
          <w:pgNumType w:fmt="decimal" w:start="2"/>
          <w:cols w:space="720" w:num="1"/>
          <w:rtlGutter w:val="0"/>
          <w:docGrid w:type="lines" w:linePitch="554" w:charSpace="0"/>
        </w:sectPr>
      </w:pPr>
    </w:p>
    <w:p>
      <w:pPr>
        <w:keepNext w:val="0"/>
        <w:keepLines w:val="0"/>
        <w:pageBreakBefore w:val="0"/>
        <w:widowControl w:val="0"/>
        <w:kinsoku/>
        <w:wordWrap/>
        <w:overflowPunct/>
        <w:topLinePunct w:val="0"/>
        <w:autoSpaceDE/>
        <w:autoSpaceDN/>
        <w:bidi w:val="0"/>
        <w:adjustRightInd/>
        <w:snapToGrid w:val="0"/>
        <w:spacing w:line="240" w:lineRule="auto"/>
        <w:rPr>
          <w:rFonts w:ascii="黑体" w:hAnsi="黑体" w:eastAsia="黑体" w:cs="黑体"/>
          <w:color w:val="000000"/>
          <w:sz w:val="32"/>
          <w:szCs w:val="32"/>
        </w:rPr>
      </w:pPr>
      <w:r>
        <w:rPr>
          <w:rFonts w:hint="eastAsia" w:ascii="黑体" w:hAnsi="黑体" w:eastAsia="黑体" w:cs="黑体"/>
          <w:color w:val="000000"/>
          <w:sz w:val="32"/>
          <w:szCs w:val="32"/>
        </w:rPr>
        <w:t>附件</w:t>
      </w:r>
    </w:p>
    <w:p>
      <w:pPr>
        <w:keepNext w:val="0"/>
        <w:keepLines w:val="0"/>
        <w:pageBreakBefore w:val="0"/>
        <w:widowControl w:val="0"/>
        <w:kinsoku/>
        <w:wordWrap/>
        <w:overflowPunct/>
        <w:topLinePunct w:val="0"/>
        <w:autoSpaceDE/>
        <w:autoSpaceDN/>
        <w:bidi w:val="0"/>
        <w:adjustRightInd/>
        <w:snapToGrid w:val="0"/>
        <w:spacing w:line="240" w:lineRule="auto"/>
        <w:ind w:firstLine="420"/>
        <w:jc w:val="center"/>
        <w:rPr>
          <w:rFonts w:ascii="方正小标宋简体" w:hAnsi="方正小标宋简体" w:eastAsia="方正小标宋简体" w:cs="方正小标宋简体"/>
          <w:color w:val="000000"/>
          <w:spacing w:val="0"/>
          <w:kern w:val="0"/>
          <w:sz w:val="44"/>
          <w:szCs w:val="44"/>
        </w:rPr>
      </w:pPr>
      <w:r>
        <w:rPr>
          <w:rFonts w:hint="eastAsia" w:ascii="方正小标宋简体" w:hAnsi="方正小标宋简体" w:eastAsia="方正小标宋简体" w:cs="方正小标宋简体"/>
          <w:color w:val="000000"/>
          <w:spacing w:val="0"/>
          <w:kern w:val="0"/>
          <w:sz w:val="44"/>
          <w:szCs w:val="44"/>
        </w:rPr>
        <w:t>横琴自贸试验片区第五批可在全市复制推广的改革创新措施</w:t>
      </w:r>
    </w:p>
    <w:tbl>
      <w:tblPr>
        <w:tblStyle w:val="7"/>
        <w:tblW w:w="16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037"/>
        <w:gridCol w:w="5"/>
        <w:gridCol w:w="985"/>
        <w:gridCol w:w="5"/>
        <w:gridCol w:w="945"/>
        <w:gridCol w:w="5"/>
        <w:gridCol w:w="5495"/>
        <w:gridCol w:w="5"/>
        <w:gridCol w:w="4465"/>
        <w:gridCol w:w="123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5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序号</w:t>
            </w:r>
          </w:p>
        </w:tc>
        <w:tc>
          <w:tcPr>
            <w:tcW w:w="1042"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项目名称</w:t>
            </w:r>
          </w:p>
        </w:tc>
        <w:tc>
          <w:tcPr>
            <w:tcW w:w="990" w:type="dxa"/>
            <w:gridSpan w:val="2"/>
            <w:noWrap w:val="0"/>
            <w:vAlign w:val="center"/>
          </w:tcPr>
          <w:p>
            <w:pPr>
              <w:keepNext w:val="0"/>
              <w:keepLines w:val="0"/>
              <w:pageBreakBefore w:val="0"/>
              <w:widowControl w:val="0"/>
              <w:tabs>
                <w:tab w:val="left" w:pos="490"/>
              </w:tabs>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建议市牵头部门</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区牵头部门</w:t>
            </w:r>
          </w:p>
        </w:tc>
        <w:tc>
          <w:tcPr>
            <w:tcW w:w="5505"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项目内容</w:t>
            </w:r>
          </w:p>
        </w:tc>
        <w:tc>
          <w:tcPr>
            <w:tcW w:w="446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项目的</w:t>
            </w:r>
          </w:p>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率先性或示范性</w:t>
            </w:r>
          </w:p>
        </w:tc>
        <w:tc>
          <w:tcPr>
            <w:tcW w:w="1235" w:type="dxa"/>
            <w:noWrap w:val="0"/>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项目可复制可推广区域</w:t>
            </w: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黑体" w:hAnsi="黑体" w:eastAsia="黑体" w:cs="黑体"/>
                <w:b w:val="0"/>
                <w:bCs/>
                <w:color w:val="000000"/>
                <w:spacing w:val="0"/>
                <w:sz w:val="24"/>
                <w:szCs w:val="24"/>
              </w:rPr>
            </w:pPr>
            <w:r>
              <w:rPr>
                <w:rFonts w:hint="eastAsia" w:ascii="黑体" w:hAnsi="黑体" w:eastAsia="黑体" w:cs="黑体"/>
                <w:b w:val="0"/>
                <w:bCs/>
                <w:color w:val="000000"/>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1</w:t>
            </w: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bidi="ar"/>
              </w:rPr>
              <w:t>港澳人士购买一手房全程线上自助缴税新模式</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珠海市税务局</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横琴新区税务局</w:t>
            </w:r>
          </w:p>
        </w:tc>
        <w:tc>
          <w:tcPr>
            <w:tcW w:w="55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20"/>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解决港澳居民网上办税实名认证所使用的港澳通行证与签订购房合同使用的港澳居民身份证两证不同，且系统无法自动识别匹配所导致的无法线上办理一手房涉税业务的问题。横琴新区税务局与横琴新区不动产登记等部门联合，通过认证港澳通行证实名信息，采集“粤税通”登录入口实名信息，改造房产交易智能办税系统流程页面，以及对金税三期税收管理系统、不动产登记信息管理系统等多个数据接口的开发和服务调用，对跨部门跨平台的工作流、数据流进行了有效整合，成功对港澳通行证和港澳居民身份证信息进行匹配，最终实现港澳人士购买一手房全程线上自助缴税。</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bidi="ar"/>
              </w:rPr>
              <w:t>港澳人士购房（一手房）全程线上自助缴税模式具有首创性。购房纳税人只需通过“粤税通”官方小程序录入港澳身份证号码及相关必要信息，系统即可自动集成信息并审核校验，生成税款明细并弹出缴费信息，在线即时缴纳税费便可获取电子完税凭证，成功做到全程系统自动处理，无需人工审核，实现“指尖微动、自助办结”。该模式有利于进一步降低港澳人士来珠置业的成本，大幅提升办事效率，为探索港澳人士来粤办理相关涉税业务提供了经验参考。</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2</w:t>
            </w: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税政企信用全周期管理服务体系</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珠海市税务局</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横琴新区税务局</w:t>
            </w:r>
          </w:p>
        </w:tc>
        <w:tc>
          <w:tcPr>
            <w:tcW w:w="55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部门对标国外先进国家和地区，借鉴港澳社会信用建设方面的先进经验，创新税收治理思路，将纳税信用评级结果应用贯穿于企业管理服务全周期，以税务诚信报告免责体系、税收遵从指数模式和容缺办理机制为税收管理服务纵向线条，以税银信用“e”贷和税政企大数据智慧共享应用新模式等跨部门联动管理服务举措为横向线条，构建纵横连贯的税政企信用全周期管理服务体系，有效拓展纳税信用评价结果共享应用层面，引导纳税人提升税法遵从度，推进诚信社会建设。</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sz w:val="24"/>
                <w:szCs w:val="24"/>
                <w:lang w:val="zh-CN"/>
              </w:rPr>
              <w:t>该体系创新了税收治理思路，重点围绕企业运营，促进跨部门信息共享，拓展纳税信用增值运用。诚信导向服务机制建立后，使企业纳税信用结果影响企业全生命周期，同时也可适配信用级别提供差异化、针对性的信用服务。</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3</w:t>
            </w: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跨境人民币全程电子办税缴费新模式</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珠海市税务局</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横琴新区税务局</w:t>
            </w:r>
          </w:p>
        </w:tc>
        <w:tc>
          <w:tcPr>
            <w:tcW w:w="55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部门联合人民银行珠海市中心支行、澳门金管局、中国银行澳门分行及珠海分行、横琴中行、横琴社保部门、澳门粤澳工商服务中心等单位，开展系统集成化创新，持续拓展“非接触式”办税缴费，率先推行“网上办税为主、自助办税为辅、V-Tax可视化办税兜底”的跨境人民币全程电子办税缴费新模式。通过升级技术应用、集成数据管理、优化人力调配，精简资料报送、优化办税流程，提供境内外涉税业务网上办、自助办服务，创新可视化定制服务，开展跨境视频咨询实时连线、涉税疑难实时处理等“云端办税缴费服务”。</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网上办税为主、自助办税为辅、V-Tax可视化办税兜底”的跨境人民币全程电子办税缴费新模式具有首创性，进一步深化了内地与港澳的实务合作，大幅提升了港澳纳税人、缴费人的便利度、满意度与获得感，有利于推进湾区内民生领域的融合创新，推动协同治税，促进政务服务“最多跑一次”乃至“一次不用跑”，为进一步促进粤港澳大湾区要素资源的便捷流动提供了更多可复制推广经验。</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4</w:t>
            </w: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b/>
                <w:bCs/>
                <w:color w:val="000000"/>
                <w:spacing w:val="0"/>
                <w:kern w:val="0"/>
                <w:sz w:val="24"/>
                <w:szCs w:val="24"/>
                <w:lang w:bidi="ar"/>
              </w:rPr>
            </w:pPr>
            <w:r>
              <w:rPr>
                <w:rFonts w:hint="eastAsia" w:ascii="仿宋" w:hAnsi="仿宋" w:eastAsia="仿宋" w:cs="仿宋"/>
                <w:b/>
                <w:bCs/>
                <w:color w:val="000000"/>
                <w:spacing w:val="0"/>
                <w:kern w:val="0"/>
                <w:sz w:val="24"/>
                <w:szCs w:val="24"/>
                <w:lang w:bidi="ar"/>
              </w:rPr>
              <w:t>税务注销“智能预检”实现全流程网上办</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珠海市税务局</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横琴新区税务局</w:t>
            </w:r>
          </w:p>
        </w:tc>
        <w:tc>
          <w:tcPr>
            <w:tcW w:w="55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20"/>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深入贯彻落实国家和税务系统“放管服”要求，优化推进企业税务注销办理改革。通过数据化手段实行常态化“智能预检”，定期对辖区企业进行全面“体检”，及时解决征管问题，避免注销时堆积问题影响业务办理时长。联合多部门推进“一门受理、信息共享、并行办理、全程监控”的商事注销集成服务。梳理形成简明清晰的注销流程图，辅助企业办事咨询。各相关部门在“注销网上服务专区”共享商事主体注销信息，迅速办理未结事项，强化部门联动机制加速非正常户出清。出台税务检查办法，力求执法效率和纳税人满意度双提升。探索税务注销后补缴税款、稳健审慎的承诺容缺注销机制等，实现税务注销流程办理质效的全面优化。</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税务注销“智能预检”实现全流程网上办，通过优化注销流程、完善制度、优化办理方式等，有效地解决了以往注销办理流程复杂、提交材料繁多、检查风险较大、注销效率较低等堵点痛点，切实为税务注销业务提速增效。</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r>
              <w:rPr>
                <w:rFonts w:hint="eastAsia" w:ascii="仿宋" w:hAnsi="仿宋" w:eastAsia="仿宋" w:cs="仿宋"/>
                <w:color w:val="000000"/>
                <w:spacing w:val="0"/>
                <w:kern w:val="0"/>
                <w:sz w:val="24"/>
                <w:szCs w:val="24"/>
                <w:lang w:bidi="ar"/>
              </w:rPr>
              <w:t>全市</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5</w:t>
            </w:r>
          </w:p>
        </w:tc>
        <w:tc>
          <w:tcPr>
            <w:tcW w:w="10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创新实现个人股权转让涉税业务全程“链”上办</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珠海市税务局</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横琴新区税务局</w:t>
            </w:r>
          </w:p>
        </w:tc>
        <w:tc>
          <w:tcPr>
            <w:tcW w:w="55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部门创新运用区块链技术分布式数据存储、点对点传输、共识机制、加密算法等特点，让纳税人在确保数据安全可靠的基础上突破时空限制办理个人股权转让涉税业务。税务人员通过自然人电子税务局、V-Tax远程可视化办税平台接单完成申报缴款业务后，系统自动基于“区块链”技术生成“个人股东股权转让查验信息表”以代替“税款数额”等涉密字段数据，并通过赋予工商局查验权限，以部门间“数据流”代替“人跑腿”。</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个人股权转让涉税业务“链上办”，最大程度减少了纳税人办税成本，简便和优化了个人股东股权转让涉税业务的流程。税务部门、市场主体登记部门与纳税人三方的信息共享，既保障了纳税人涉税信息的安全，又大幅压缩了三方办理业务时间成本，优化了个人股权转让“先完税</w:t>
            </w:r>
            <w:r>
              <w:rPr>
                <w:rFonts w:hint="eastAsia" w:ascii="仿宋" w:hAnsi="仿宋" w:eastAsia="仿宋" w:cs="仿宋"/>
                <w:color w:val="000000"/>
                <w:spacing w:val="-6"/>
                <w:kern w:val="0"/>
                <w:sz w:val="24"/>
                <w:szCs w:val="24"/>
                <w:lang w:val="zh-CN" w:bidi="ar"/>
              </w:rPr>
              <w:t>后登记”模式后续管理服务工作，强化了税务部门与市场主体登记部门间的监管合力。</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6</w:t>
            </w:r>
          </w:p>
        </w:tc>
        <w:tc>
          <w:tcPr>
            <w:tcW w:w="1042"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不动产租赁全程线上委托代开发票新模式</w:t>
            </w:r>
          </w:p>
        </w:tc>
        <w:tc>
          <w:tcPr>
            <w:tcW w:w="99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珠海市税务局</w:t>
            </w:r>
          </w:p>
        </w:tc>
        <w:tc>
          <w:tcPr>
            <w:tcW w:w="94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横琴新区税务局</w:t>
            </w:r>
          </w:p>
        </w:tc>
        <w:tc>
          <w:tcPr>
            <w:tcW w:w="5505"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横琴新区税务局结合横琴不动产租赁代开发票实际情况，经过向广东省税务局沟通争取，通过在电子税务局开发不动产租赁委托代开发票功能，全省首个试点实现优化不动产租赁代开发票业务全程网上办。在原有的基础上，增加授权申请与确认功能，明晰授权与被授权权责关系，业主可通过该功能授权给承租方或第三方代理人，由承租方或第三方代理人代为申请开具不动产租赁发票。</w:t>
            </w:r>
          </w:p>
        </w:tc>
        <w:tc>
          <w:tcPr>
            <w:tcW w:w="446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不动产租赁委托代开发票新模式，从纳税人需求出发，针对纳税人办税的实际情况，践行了最大限度便利纳税人的理念，突破线下办理的限制，开创发票代开新方式，减轻纳税人的交易时间、人力成本，有力推进粤港澳大湾区内资本要素的自由流动，推动大湾区融合发展，为港澳居民在横琴置业发展提供便利。</w:t>
            </w:r>
          </w:p>
        </w:tc>
        <w:tc>
          <w:tcPr>
            <w:tcW w:w="123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center" w:pos="109"/>
              </w:tabs>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kern w:val="0"/>
                <w:sz w:val="24"/>
                <w:szCs w:val="24"/>
                <w:lang w:bidi="ar"/>
              </w:rPr>
              <w:t>7</w:t>
            </w:r>
          </w:p>
        </w:tc>
        <w:tc>
          <w:tcPr>
            <w:tcW w:w="1042"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首创内地赴澳门务工人员可在横琴参加职工基本养老保险</w:t>
            </w:r>
          </w:p>
        </w:tc>
        <w:tc>
          <w:tcPr>
            <w:tcW w:w="99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市人力资源社会保障局，</w:t>
            </w:r>
          </w:p>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珠海市税务局</w:t>
            </w:r>
          </w:p>
        </w:tc>
        <w:tc>
          <w:tcPr>
            <w:tcW w:w="94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横琴新区社会事业局，</w:t>
            </w:r>
          </w:p>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横琴新区税务局</w:t>
            </w:r>
          </w:p>
        </w:tc>
        <w:tc>
          <w:tcPr>
            <w:tcW w:w="5505"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横琴新区积极推动粤澳人社领域互利合作，落实湾区“社保通”工程，将内地赴澳门务工人员在澳门工作经历视同在大湾区工作经历，允许其选择在横琴以灵活就业人员身份参加职工基本养老保险，弥补澳门人力资源短缺现状，支持澳门更好融入国家发展大局。横琴新区税务部门通过设立专项办理通道、提供邮寄服务、指定接收资料点等多种具体措施，确保内地赴澳门务工人员参保业务快速办结。</w:t>
            </w:r>
          </w:p>
        </w:tc>
        <w:tc>
          <w:tcPr>
            <w:tcW w:w="446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该项创新突破以往因内地城市（珠海市外）赴澳门务工人员劳动关系在澳门，受既有规定限制无法通过珠海市用工企业代扣代缴职工基本养老保险，或不能参照珠海市户籍居民以灵活就业人员身份在珠海市内办理职工基本养老保险参保的限制，率先开展内地赴澳门务工人员参保试点工作，支持内地赴澳门务工人员可凭本人有效期内的澳门特别行政区外地雇员身份认别证以及身份证明材料，在横琴新区以灵活就业人员身份参加企业职工基本养老保险。</w:t>
            </w:r>
          </w:p>
        </w:tc>
        <w:tc>
          <w:tcPr>
            <w:tcW w:w="123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sz w:val="24"/>
                <w:szCs w:val="24"/>
              </w:rPr>
            </w:pPr>
            <w:r>
              <w:rPr>
                <w:rFonts w:hint="eastAsia" w:ascii="仿宋" w:hAnsi="仿宋" w:eastAsia="仿宋" w:cs="仿宋"/>
                <w:color w:val="000000"/>
                <w:spacing w:val="0"/>
                <w:kern w:val="0"/>
                <w:sz w:val="24"/>
                <w:szCs w:val="24"/>
                <w:lang w:bidi="ar"/>
              </w:rPr>
              <w:t>8</w:t>
            </w:r>
          </w:p>
        </w:tc>
        <w:tc>
          <w:tcPr>
            <w:tcW w:w="1042"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常住横琴澳门居民医保中银“一站通”业务</w:t>
            </w:r>
          </w:p>
        </w:tc>
        <w:tc>
          <w:tcPr>
            <w:tcW w:w="99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市医保局，</w:t>
            </w:r>
          </w:p>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珠海市税务局</w:t>
            </w:r>
          </w:p>
        </w:tc>
        <w:tc>
          <w:tcPr>
            <w:tcW w:w="94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横琴新区社会</w:t>
            </w:r>
            <w:r>
              <w:rPr>
                <w:rFonts w:hint="eastAsia" w:ascii="仿宋" w:hAnsi="仿宋" w:eastAsia="仿宋" w:cs="仿宋"/>
                <w:color w:val="000000"/>
                <w:kern w:val="0"/>
                <w:sz w:val="24"/>
                <w:szCs w:val="24"/>
                <w:highlight w:val="none"/>
                <w:lang w:bidi="ar"/>
              </w:rPr>
              <w:t>事业局</w:t>
            </w:r>
            <w:r>
              <w:rPr>
                <w:rFonts w:hint="eastAsia" w:ascii="仿宋" w:hAnsi="仿宋" w:eastAsia="仿宋" w:cs="仿宋"/>
                <w:color w:val="auto"/>
                <w:spacing w:val="0"/>
                <w:kern w:val="0"/>
                <w:sz w:val="24"/>
                <w:szCs w:val="24"/>
                <w:lang w:bidi="ar"/>
              </w:rPr>
              <w:t>，</w:t>
            </w:r>
          </w:p>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横琴新区税务局</w:t>
            </w:r>
          </w:p>
        </w:tc>
        <w:tc>
          <w:tcPr>
            <w:tcW w:w="5505"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为落实2019年6月珠海市人民政府印发的《关于常住横琴的澳门居民参加珠海市基本医疗保险试点有关问题的通知》，中国银行横琴分行率先为常住横琴的澳门居民办理社会保障卡提供银行医保“一站式”服务，澳门居民在珠海参保由原来需跑“社保局、税务局、银行、定点门诊”等4个部门、耗时20余个工作日，整合为医保中银“一站通”服务，办理时长缩减至1小时，极大便利澳门居民来横琴学习、就业、创业及生活。</w:t>
            </w:r>
          </w:p>
        </w:tc>
        <w:tc>
          <w:tcPr>
            <w:tcW w:w="446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该创新举措作为全国首个相关试点工程，将澳门居民参保原先需分别到社保局、税务局、银行、定点门诊办理手续，统一整合到横琴中行“一站式“办理，解决传统业务流程繁琐难点，参保居民由原来需等待20余个工作日缩短为1小时内办妥用卡，极大便利参保居民生活就医，吸引更多澳门居民来横琴生活工作。</w:t>
            </w:r>
          </w:p>
        </w:tc>
        <w:tc>
          <w:tcPr>
            <w:tcW w:w="123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8"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sz w:val="24"/>
                <w:szCs w:val="24"/>
              </w:rPr>
            </w:pPr>
            <w:r>
              <w:rPr>
                <w:rFonts w:hint="eastAsia" w:ascii="仿宋" w:hAnsi="仿宋" w:eastAsia="仿宋" w:cs="仿宋"/>
                <w:color w:val="000000"/>
                <w:spacing w:val="0"/>
                <w:sz w:val="24"/>
                <w:szCs w:val="24"/>
              </w:rPr>
              <w:t>9</w:t>
            </w:r>
          </w:p>
        </w:tc>
        <w:tc>
          <w:tcPr>
            <w:tcW w:w="1042"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横琴携手澳门构建国际化知识产权全链条保护体系</w:t>
            </w:r>
          </w:p>
        </w:tc>
        <w:tc>
          <w:tcPr>
            <w:tcW w:w="99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val="zh-CN" w:bidi="ar"/>
              </w:rPr>
              <w:t>市市场监管局</w:t>
            </w:r>
          </w:p>
        </w:tc>
        <w:tc>
          <w:tcPr>
            <w:tcW w:w="94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val="zh-CN" w:bidi="ar"/>
              </w:rPr>
              <w:t>横琴新区市场监管局</w:t>
            </w:r>
          </w:p>
        </w:tc>
        <w:tc>
          <w:tcPr>
            <w:tcW w:w="5505" w:type="dxa"/>
            <w:gridSpan w:val="3"/>
            <w:tcBorders>
              <w:left w:val="single" w:color="auto" w:sz="4" w:space="0"/>
              <w:right w:val="single" w:color="auto" w:sz="4" w:space="0"/>
            </w:tcBorders>
            <w:noWrap w:val="0"/>
            <w:vAlign w:val="center"/>
          </w:tcPr>
          <w:p>
            <w:pPr>
              <w:widowControl w:val="0"/>
              <w:snapToGrid w:val="0"/>
              <w:spacing w:line="240" w:lineRule="auto"/>
              <w:ind w:firstLine="480" w:firstLineChars="200"/>
              <w:textAlignment w:val="center"/>
              <w:rPr>
                <w:rFonts w:hint="eastAsia" w:ascii="仿宋" w:hAnsi="仿宋" w:eastAsia="仿宋" w:cs="仿宋"/>
                <w:color w:val="000000"/>
                <w:kern w:val="0"/>
                <w:sz w:val="24"/>
                <w:szCs w:val="24"/>
                <w:lang w:val="zh-CN" w:bidi="ar"/>
              </w:rPr>
            </w:pPr>
            <w:r>
              <w:rPr>
                <w:rFonts w:hint="eastAsia" w:ascii="仿宋" w:hAnsi="仿宋" w:eastAsia="仿宋" w:cs="仿宋"/>
                <w:color w:val="000000"/>
                <w:spacing w:val="0"/>
                <w:kern w:val="0"/>
                <w:sz w:val="24"/>
                <w:szCs w:val="24"/>
                <w:lang w:val="zh-CN" w:bidi="ar"/>
              </w:rPr>
              <w:t>横琴新区携手澳门构建国际化知识产权全链条保护体系，推进琴澳知识产权保护规则“软联通”，打造横琴粤澳深度合作知识产权保护高地。通过对标“知识产权创造、运用、保护、管理、服务全链条”保护，进一步深化知识产权注册、培育、使用和交易、保护、法治保障五环节工作；在加强跨境知识产权保护协作机制建设方面，建立健全琴澳知识产权领域规则对接制度，充分发挥澳门社团组织在知识产权保护中的作用，推进粤澳深度合作区建设；通过完善知识产权保护与服务，支撑横琴科技创新、特色金融、医疗健康、跨境商贸、文旅会展、专业服务为代表的现代产业创新发展；在完善知识产权保护和服务、建立多元化知识产权纠纷调解和维权援助机制、健全知识产权侵权赔偿性制度、行政保护与司法保护相衔接等方面的具体举措。</w:t>
            </w:r>
          </w:p>
        </w:tc>
        <w:tc>
          <w:tcPr>
            <w:tcW w:w="446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在该体系下，横琴携手澳门构建起国际化知识产权全链条保护体系，成效显著。一是构建了“政府引导、企业主体、社会参与、国际联动”的知识产权联合保护机制。二是知识产权注册、培育、使用和交易、保护及法制保障取得明显成效。</w:t>
            </w:r>
          </w:p>
          <w:p>
            <w:pPr>
              <w:widowControl w:val="0"/>
              <w:snapToGrid w:val="0"/>
              <w:spacing w:line="240" w:lineRule="auto"/>
              <w:ind w:firstLine="480" w:firstLineChars="200"/>
              <w:textAlignment w:val="center"/>
              <w:rPr>
                <w:rFonts w:hint="eastAsia" w:ascii="仿宋" w:hAnsi="仿宋" w:eastAsia="仿宋" w:cs="仿宋"/>
                <w:color w:val="000000"/>
                <w:kern w:val="0"/>
                <w:sz w:val="24"/>
                <w:szCs w:val="24"/>
                <w:lang w:val="zh-CN" w:bidi="ar"/>
              </w:rPr>
            </w:pPr>
            <w:r>
              <w:rPr>
                <w:rFonts w:hint="eastAsia" w:ascii="仿宋" w:hAnsi="仿宋" w:eastAsia="仿宋" w:cs="仿宋"/>
                <w:color w:val="000000"/>
                <w:spacing w:val="0"/>
                <w:kern w:val="0"/>
                <w:sz w:val="24"/>
                <w:szCs w:val="24"/>
                <w:lang w:val="zh-CN" w:bidi="ar"/>
              </w:rPr>
              <w:t>截至2020年底，横琴商标受理窗口共受理商标注册业务7853件，受理涉澳商标申请业务577件，其中上线首个金融创新知识产权运营交易国家平台，建立了线上知识产权质押融资业务模块，探索建立覆盖澳门的知识产权质押融资市场化业务</w:t>
            </w:r>
            <w:r>
              <w:rPr>
                <w:rFonts w:hint="eastAsia" w:ascii="仿宋" w:hAnsi="仿宋" w:eastAsia="仿宋" w:cs="仿宋"/>
                <w:color w:val="000000"/>
                <w:spacing w:val="0"/>
                <w:kern w:val="0"/>
                <w:sz w:val="24"/>
                <w:szCs w:val="24"/>
                <w:lang w:bidi="ar"/>
              </w:rPr>
              <w:t>新</w:t>
            </w:r>
            <w:r>
              <w:rPr>
                <w:rFonts w:hint="eastAsia" w:ascii="仿宋" w:hAnsi="仿宋" w:eastAsia="仿宋" w:cs="仿宋"/>
                <w:color w:val="000000"/>
                <w:spacing w:val="0"/>
                <w:kern w:val="0"/>
                <w:sz w:val="24"/>
                <w:szCs w:val="24"/>
                <w:lang w:val="zh-CN" w:bidi="ar"/>
              </w:rPr>
              <w:t>模式。</w:t>
            </w:r>
          </w:p>
        </w:tc>
        <w:tc>
          <w:tcPr>
            <w:tcW w:w="123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10</w:t>
            </w:r>
          </w:p>
        </w:tc>
        <w:tc>
          <w:tcPr>
            <w:tcW w:w="1042"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横琴“跨境消费通”公益咨询</w:t>
            </w:r>
          </w:p>
        </w:tc>
        <w:tc>
          <w:tcPr>
            <w:tcW w:w="99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val="zh-CN" w:bidi="ar"/>
              </w:rPr>
              <w:t>市市场监管局</w:t>
            </w:r>
          </w:p>
        </w:tc>
        <w:tc>
          <w:tcPr>
            <w:tcW w:w="94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横琴新区市场监管局</w:t>
            </w:r>
          </w:p>
        </w:tc>
        <w:tc>
          <w:tcPr>
            <w:tcW w:w="5505"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为突出横琴新区粤澳深度合作区的功能定位，及时帮助粤港澳三地消费者解答跨境消费咨询等法律问题，把矛盾纠纷尽量解决在消费前端，并为消费者发生跨境纠纷后提供维权指引，由横琴消协和内地与港澳联营的律师事务所签订合作协议，聘请粤港澳三地消费领域法律专家团队，对港澳居民在内地以及内地居民在港澳地区进行跨境消费时，及时提供公益咨询服务及维权程序指引，消费者可通过热线电话0756-8823315及珠海市横琴新区消费者协会微信公众咨询端口和留言页面进行留言咨询，将有粤港澳三地消费领域律师团队进行接待咨询，提出解决方案以及进行现场消费调解。</w:t>
            </w:r>
          </w:p>
        </w:tc>
        <w:tc>
          <w:tcPr>
            <w:tcW w:w="446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该项目是横琴新区充分</w:t>
            </w:r>
            <w:r>
              <w:rPr>
                <w:rFonts w:hint="eastAsia" w:ascii="仿宋" w:hAnsi="仿宋" w:eastAsia="仿宋" w:cs="仿宋"/>
                <w:color w:val="000000"/>
                <w:spacing w:val="0"/>
                <w:kern w:val="0"/>
                <w:sz w:val="24"/>
                <w:szCs w:val="24"/>
                <w:lang w:bidi="ar"/>
              </w:rPr>
              <w:t>发挥</w:t>
            </w:r>
            <w:r>
              <w:rPr>
                <w:rFonts w:hint="eastAsia" w:ascii="仿宋" w:hAnsi="仿宋" w:eastAsia="仿宋" w:cs="仿宋"/>
                <w:color w:val="000000"/>
                <w:spacing w:val="0"/>
                <w:kern w:val="0"/>
                <w:sz w:val="24"/>
                <w:szCs w:val="24"/>
                <w:lang w:val="zh-CN" w:bidi="ar"/>
              </w:rPr>
              <w:t>自贸区制度创新优势，在与澳门跨境消费维权领域共商共建共管新机制的基础上，推出的又一项跨境消费便民服务创新举措。一是深化了内地与港澳消费者进行跨境消费时自身利益保护，提升跨境消费体验、畅通跨境消费，促进横琴与港澳要素便捷流动。二是横琴新区贯彻落实党中央、国务院关于完善促进消费体制机制，建立高标准市场体系等决策部署的重要举措，在推动琴澳民生加快融合发展等方面具有重要意义。</w:t>
            </w:r>
          </w:p>
        </w:tc>
        <w:tc>
          <w:tcPr>
            <w:tcW w:w="123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eastAsia" w:ascii="仿宋" w:hAnsi="仿宋" w:eastAsia="仿宋" w:cs="仿宋"/>
                <w:color w:val="000000"/>
                <w:spacing w:val="0"/>
                <w:kern w:val="0"/>
                <w:sz w:val="24"/>
                <w:szCs w:val="24"/>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center" w:pos="109"/>
              </w:tabs>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11</w:t>
            </w:r>
          </w:p>
        </w:tc>
        <w:tc>
          <w:tcPr>
            <w:tcW w:w="103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横琴新区“跨境政务服务平台”</w:t>
            </w:r>
          </w:p>
        </w:tc>
        <w:tc>
          <w:tcPr>
            <w:tcW w:w="99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市政务服务数据管理局</w:t>
            </w:r>
          </w:p>
        </w:tc>
        <w:tc>
          <w:tcPr>
            <w:tcW w:w="955"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横琴新区科技创新和商务局</w:t>
            </w:r>
          </w:p>
        </w:tc>
        <w:tc>
          <w:tcPr>
            <w:tcW w:w="550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横琴新区“跨境政务服务平台”由珠海横琴新区科技创新和商务局联手港澳打破地域界限，突破三地政务的“行政壁垒”，倾力打造全国首个面向港澳企业及群众提供一站式通办的线上政务服务平台。该平台作为全国优化营商环境案例的跨境服务延伸，旨在便利澳门、香港企业及居民在横琴享用与内地居民相同的政务服务、公共服务及方便其在港澳办公、生活等。目前，港澳企业及个人通过这个平台，足不</w:t>
            </w:r>
            <w:r>
              <w:rPr>
                <w:rFonts w:hint="eastAsia" w:ascii="仿宋" w:hAnsi="仿宋" w:eastAsia="仿宋" w:cs="仿宋"/>
                <w:color w:val="000000"/>
                <w:spacing w:val="0"/>
                <w:kern w:val="0"/>
                <w:sz w:val="24"/>
                <w:szCs w:val="24"/>
                <w:lang w:bidi="ar"/>
              </w:rPr>
              <w:t>出</w:t>
            </w:r>
            <w:r>
              <w:rPr>
                <w:rFonts w:hint="eastAsia" w:ascii="仿宋" w:hAnsi="仿宋" w:eastAsia="仿宋" w:cs="仿宋"/>
                <w:color w:val="000000"/>
                <w:spacing w:val="0"/>
                <w:kern w:val="0"/>
                <w:sz w:val="24"/>
                <w:szCs w:val="24"/>
                <w:lang w:val="zh-CN" w:bidi="ar"/>
              </w:rPr>
              <w:t>境即可线上办理澳门单牌车申请、不动产登记、人才奖励、公证等240项政务服务事项。</w:t>
            </w:r>
          </w:p>
        </w:tc>
        <w:tc>
          <w:tcPr>
            <w:tcW w:w="446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跨境政务服务平台”作为全国首个面向港澳企业及群众提供一站式通办的线上政务服务平台，通过创新政务跨境区块链应用，凭借其去中心化存储,信息高度透明,不宜篡改，加密安全性高等特点,起到了推动政务服务更加智能化,促进政府信息的公开、共享与业务协同办理,深化“最多跑一次”改革,为港澳居民带来更好的政务服务体验。同时，</w:t>
            </w:r>
            <w:r>
              <w:rPr>
                <w:rFonts w:hint="eastAsia" w:ascii="仿宋" w:hAnsi="仿宋" w:eastAsia="仿宋" w:cs="仿宋"/>
                <w:color w:val="000000"/>
                <w:spacing w:val="0"/>
                <w:kern w:val="0"/>
                <w:sz w:val="24"/>
                <w:szCs w:val="24"/>
                <w:lang w:bidi="ar"/>
              </w:rPr>
              <w:t>该平台</w:t>
            </w:r>
            <w:r>
              <w:rPr>
                <w:rFonts w:hint="eastAsia" w:ascii="仿宋" w:hAnsi="仿宋" w:eastAsia="仿宋" w:cs="仿宋"/>
                <w:color w:val="000000"/>
                <w:spacing w:val="0"/>
                <w:kern w:val="0"/>
                <w:sz w:val="24"/>
                <w:szCs w:val="24"/>
                <w:lang w:val="zh-CN" w:bidi="ar"/>
              </w:rPr>
              <w:t>初步实现了政务服务的跨区域合作，为粤港澳大湾区城市群政务服务合作探索路径、积累经验，助力大湾区各城市政务服务上的全面对接，推进更深层次的产业协作和协同创新，跨境政务服务新模式的政务数据共享，建立跨部门、跨领域、全链条的联动机制，助推各行业各部门整合职能优势，切实推进大湾区城市间的深度融合。</w:t>
            </w:r>
          </w:p>
        </w:tc>
        <w:tc>
          <w:tcPr>
            <w:tcW w:w="123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center" w:pos="109"/>
              </w:tabs>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12</w:t>
            </w:r>
          </w:p>
        </w:tc>
        <w:tc>
          <w:tcPr>
            <w:tcW w:w="1042"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b/>
                <w:bCs/>
                <w:color w:val="000000"/>
                <w:spacing w:val="0"/>
                <w:kern w:val="0"/>
                <w:sz w:val="24"/>
                <w:szCs w:val="24"/>
                <w:lang w:val="zh-CN" w:bidi="ar"/>
              </w:rPr>
            </w:pPr>
            <w:r>
              <w:rPr>
                <w:rFonts w:hint="eastAsia" w:ascii="仿宋" w:hAnsi="仿宋" w:eastAsia="仿宋" w:cs="仿宋"/>
                <w:b/>
                <w:bCs/>
                <w:color w:val="000000"/>
                <w:spacing w:val="0"/>
                <w:kern w:val="0"/>
                <w:sz w:val="24"/>
                <w:szCs w:val="24"/>
                <w:lang w:val="zh-CN" w:bidi="ar"/>
              </w:rPr>
              <w:t>跨境纠纷联合调解机制</w:t>
            </w:r>
          </w:p>
        </w:tc>
        <w:tc>
          <w:tcPr>
            <w:tcW w:w="99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市中级人民法院</w:t>
            </w:r>
          </w:p>
        </w:tc>
        <w:tc>
          <w:tcPr>
            <w:tcW w:w="94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横琴法院</w:t>
            </w:r>
          </w:p>
        </w:tc>
        <w:tc>
          <w:tcPr>
            <w:tcW w:w="550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创新推出跨境纠纷联合调解机制。紧跟粤港澳融合发展趋势，探索实践“内地调解员+港澳调解员”联合调解的工作模式，更加精准地</w:t>
            </w:r>
            <w:r>
              <w:rPr>
                <w:rFonts w:hint="eastAsia" w:ascii="仿宋" w:hAnsi="仿宋" w:eastAsia="仿宋" w:cs="仿宋"/>
                <w:color w:val="000000"/>
                <w:spacing w:val="0"/>
                <w:kern w:val="0"/>
                <w:sz w:val="24"/>
                <w:szCs w:val="24"/>
                <w:lang w:bidi="ar"/>
              </w:rPr>
              <w:t>响应</w:t>
            </w:r>
            <w:r>
              <w:rPr>
                <w:rFonts w:hint="eastAsia" w:ascii="仿宋" w:hAnsi="仿宋" w:eastAsia="仿宋" w:cs="仿宋"/>
                <w:color w:val="000000"/>
                <w:spacing w:val="0"/>
                <w:kern w:val="0"/>
                <w:sz w:val="24"/>
                <w:szCs w:val="24"/>
                <w:lang w:val="zh-CN" w:bidi="ar"/>
              </w:rPr>
              <w:t>境内外当事人的解纷需求。由横琴新区法院邀请内地调解员对接境内当事人，邀请港澳调解员对接境外当事人，通过线上或线下的方式同时做说服解释工作，增进当事人对调解员的信任，携手助推纠纷化解。</w:t>
            </w:r>
          </w:p>
        </w:tc>
        <w:tc>
          <w:tcPr>
            <w:tcW w:w="4470"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r>
              <w:rPr>
                <w:rFonts w:hint="eastAsia" w:ascii="仿宋" w:hAnsi="仿宋" w:eastAsia="仿宋" w:cs="仿宋"/>
                <w:color w:val="000000"/>
                <w:spacing w:val="0"/>
                <w:kern w:val="0"/>
                <w:sz w:val="24"/>
                <w:szCs w:val="24"/>
                <w:lang w:val="zh-CN" w:bidi="ar"/>
              </w:rPr>
              <w:t>跨境纠纷联合调解机制，通过精准地对接境内外当事人的多元司法需求，利于建立境外当事人对调解员的信任，营造公平、贴心的调解氛围，为未来粤澳合作中可能出现的跨境纠纷高效便捷化解作出了重要示范。</w:t>
            </w:r>
          </w:p>
        </w:tc>
        <w:tc>
          <w:tcPr>
            <w:tcW w:w="123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color w:val="000000"/>
                <w:spacing w:val="0"/>
                <w:kern w:val="0"/>
                <w:sz w:val="24"/>
                <w:szCs w:val="24"/>
                <w:lang w:bidi="ar"/>
              </w:rPr>
            </w:pPr>
            <w:r>
              <w:rPr>
                <w:rFonts w:hint="eastAsia" w:ascii="仿宋" w:hAnsi="仿宋" w:eastAsia="仿宋" w:cs="仿宋"/>
                <w:color w:val="000000"/>
                <w:spacing w:val="0"/>
                <w:kern w:val="0"/>
                <w:sz w:val="24"/>
                <w:szCs w:val="24"/>
                <w:lang w:bidi="ar"/>
              </w:rPr>
              <w:t>全市</w:t>
            </w:r>
          </w:p>
        </w:tc>
        <w:tc>
          <w:tcPr>
            <w:tcW w:w="131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center"/>
              <w:rPr>
                <w:rFonts w:hint="eastAsia" w:ascii="仿宋" w:hAnsi="仿宋" w:eastAsia="仿宋" w:cs="仿宋"/>
                <w:color w:val="000000"/>
                <w:spacing w:val="0"/>
                <w:kern w:val="0"/>
                <w:sz w:val="24"/>
                <w:szCs w:val="24"/>
                <w:lang w:val="zh-CN" w:bidi="ar"/>
              </w:rPr>
            </w:pPr>
          </w:p>
        </w:tc>
      </w:tr>
      <w:bookmarkEnd w:id="1"/>
    </w:tbl>
    <w:p>
      <w:pPr>
        <w:keepNext w:val="0"/>
        <w:keepLines w:val="0"/>
        <w:pageBreakBefore w:val="0"/>
        <w:widowControl w:val="0"/>
        <w:kinsoku/>
        <w:wordWrap/>
        <w:overflowPunct/>
        <w:topLinePunct w:val="0"/>
        <w:autoSpaceDE/>
        <w:autoSpaceDN/>
        <w:bidi w:val="0"/>
        <w:adjustRightInd/>
        <w:snapToGrid w:val="0"/>
        <w:spacing w:line="240" w:lineRule="auto"/>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pPr>
    </w:p>
    <w:p>
      <w:pPr>
        <w:pStyle w:val="2"/>
        <w:rPr>
          <w:rFonts w:hint="eastAsia" w:ascii="仿宋" w:hAnsi="仿宋" w:eastAsia="仿宋" w:cs="仿宋"/>
          <w:color w:val="000000"/>
          <w:sz w:val="24"/>
          <w:szCs w:val="24"/>
        </w:rPr>
        <w:sectPr>
          <w:footerReference r:id="rId5" w:type="default"/>
          <w:pgSz w:w="16838" w:h="11906" w:orient="landscape"/>
          <w:pgMar w:top="1134" w:right="567" w:bottom="1134" w:left="567" w:header="567" w:footer="567" w:gutter="0"/>
          <w:pgNumType w:fmt="decimal"/>
          <w:cols w:space="720" w:num="1"/>
          <w:rtlGutter w:val="0"/>
          <w:docGrid w:linePitch="312" w:charSpace="0"/>
        </w:sectPr>
      </w:pPr>
      <w:bookmarkStart w:id="2" w:name="_GoBack"/>
      <w:bookmarkEnd w:id="2"/>
    </w:p>
    <w:p>
      <w:pPr>
        <w:tabs>
          <w:tab w:val="left" w:pos="7584"/>
          <w:tab w:val="left" w:pos="7742"/>
        </w:tabs>
        <w:spacing w:line="579" w:lineRule="exact"/>
        <w:ind w:right="0" w:rightChars="0"/>
        <w:rPr>
          <w:rFonts w:hint="eastAsia" w:ascii="仿宋" w:hAnsi="仿宋" w:eastAsia="仿宋" w:cs="仿宋"/>
          <w:color w:val="000000"/>
          <w:sz w:val="24"/>
          <w:szCs w:val="24"/>
        </w:rPr>
      </w:pPr>
    </w:p>
    <w:sectPr>
      <w:footerReference r:id="rId6" w:type="default"/>
      <w:pgSz w:w="11906" w:h="16838"/>
      <w:pgMar w:top="567" w:right="1134" w:bottom="567" w:left="1134" w:header="567" w:footer="567"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AXbURNwIAAG8EAAAOAAAAAAAAAAEAIAAAAB8BAABkcnMvZTJvRG9jLnht&#10;bFBLBQYAAAAABgAGAFkBAADI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hyphenationZone w:val="360"/>
  <w:drawingGridHorizontalSpacing w:val="210"/>
  <w:drawingGridVerticalSpacing w:val="156"/>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1B"/>
    <w:rsid w:val="00233E26"/>
    <w:rsid w:val="0027196A"/>
    <w:rsid w:val="00332C7D"/>
    <w:rsid w:val="00451458"/>
    <w:rsid w:val="0046634A"/>
    <w:rsid w:val="004B308D"/>
    <w:rsid w:val="00535B86"/>
    <w:rsid w:val="00571D5C"/>
    <w:rsid w:val="006239F1"/>
    <w:rsid w:val="006B797E"/>
    <w:rsid w:val="006D1C28"/>
    <w:rsid w:val="00804BC6"/>
    <w:rsid w:val="008B5727"/>
    <w:rsid w:val="0093572E"/>
    <w:rsid w:val="009E1C9B"/>
    <w:rsid w:val="00A32B62"/>
    <w:rsid w:val="00A974C7"/>
    <w:rsid w:val="00AB127A"/>
    <w:rsid w:val="00AF3F31"/>
    <w:rsid w:val="00B86789"/>
    <w:rsid w:val="00C031A2"/>
    <w:rsid w:val="00D00929"/>
    <w:rsid w:val="00D319ED"/>
    <w:rsid w:val="00DD571B"/>
    <w:rsid w:val="00E2752F"/>
    <w:rsid w:val="00E80389"/>
    <w:rsid w:val="00F3770E"/>
    <w:rsid w:val="00F554E8"/>
    <w:rsid w:val="04583149"/>
    <w:rsid w:val="04AA6A10"/>
    <w:rsid w:val="0584348F"/>
    <w:rsid w:val="07EC6AA2"/>
    <w:rsid w:val="08F0212A"/>
    <w:rsid w:val="09A95E1E"/>
    <w:rsid w:val="0A4A457B"/>
    <w:rsid w:val="0A9A5E1B"/>
    <w:rsid w:val="0AF62B21"/>
    <w:rsid w:val="10486F7F"/>
    <w:rsid w:val="11CA01C9"/>
    <w:rsid w:val="12E52DEF"/>
    <w:rsid w:val="13B123A8"/>
    <w:rsid w:val="14401EDB"/>
    <w:rsid w:val="1467449D"/>
    <w:rsid w:val="170F37C9"/>
    <w:rsid w:val="19271ABB"/>
    <w:rsid w:val="195167D9"/>
    <w:rsid w:val="19ED4CB5"/>
    <w:rsid w:val="1AA9313E"/>
    <w:rsid w:val="1B3F691A"/>
    <w:rsid w:val="1BD71381"/>
    <w:rsid w:val="1C3E6110"/>
    <w:rsid w:val="1C682480"/>
    <w:rsid w:val="1CB84838"/>
    <w:rsid w:val="1D3D483A"/>
    <w:rsid w:val="1E5C0309"/>
    <w:rsid w:val="1E655DF4"/>
    <w:rsid w:val="1FD27E37"/>
    <w:rsid w:val="20EA34A9"/>
    <w:rsid w:val="21145F5E"/>
    <w:rsid w:val="22C21DC8"/>
    <w:rsid w:val="2306175F"/>
    <w:rsid w:val="23B22EF4"/>
    <w:rsid w:val="2496546E"/>
    <w:rsid w:val="24CA24B5"/>
    <w:rsid w:val="25C37D57"/>
    <w:rsid w:val="263E7EC5"/>
    <w:rsid w:val="28074274"/>
    <w:rsid w:val="285C59F4"/>
    <w:rsid w:val="28B63416"/>
    <w:rsid w:val="294B68CC"/>
    <w:rsid w:val="2A0645FD"/>
    <w:rsid w:val="2A4E0942"/>
    <w:rsid w:val="2B5466D7"/>
    <w:rsid w:val="2B6F4C30"/>
    <w:rsid w:val="2C251920"/>
    <w:rsid w:val="2C4E3A66"/>
    <w:rsid w:val="2C513BD8"/>
    <w:rsid w:val="2C587D64"/>
    <w:rsid w:val="2D3D69BA"/>
    <w:rsid w:val="3091177A"/>
    <w:rsid w:val="325244FB"/>
    <w:rsid w:val="33205294"/>
    <w:rsid w:val="334955B6"/>
    <w:rsid w:val="347B7D45"/>
    <w:rsid w:val="349B6E12"/>
    <w:rsid w:val="35EC77A4"/>
    <w:rsid w:val="3AB8358F"/>
    <w:rsid w:val="3AEC3966"/>
    <w:rsid w:val="3BE429D3"/>
    <w:rsid w:val="3C2763C5"/>
    <w:rsid w:val="3E57235C"/>
    <w:rsid w:val="3E690F3F"/>
    <w:rsid w:val="3EBC6982"/>
    <w:rsid w:val="3EEB6371"/>
    <w:rsid w:val="3F0455FE"/>
    <w:rsid w:val="3F7BA56D"/>
    <w:rsid w:val="40D53423"/>
    <w:rsid w:val="41333382"/>
    <w:rsid w:val="43FA2EFE"/>
    <w:rsid w:val="45BC2384"/>
    <w:rsid w:val="45FD4D2F"/>
    <w:rsid w:val="46591C62"/>
    <w:rsid w:val="47474015"/>
    <w:rsid w:val="47654315"/>
    <w:rsid w:val="47C17B37"/>
    <w:rsid w:val="482552DC"/>
    <w:rsid w:val="49DF6AAF"/>
    <w:rsid w:val="4A99553D"/>
    <w:rsid w:val="4CDF0F15"/>
    <w:rsid w:val="4D67293B"/>
    <w:rsid w:val="525424E3"/>
    <w:rsid w:val="552E3BCC"/>
    <w:rsid w:val="577FD5A7"/>
    <w:rsid w:val="582415A7"/>
    <w:rsid w:val="58EC1D70"/>
    <w:rsid w:val="59455438"/>
    <w:rsid w:val="5A0E7C0B"/>
    <w:rsid w:val="5A1B1F90"/>
    <w:rsid w:val="5AB45EC6"/>
    <w:rsid w:val="5D345117"/>
    <w:rsid w:val="5D6358A6"/>
    <w:rsid w:val="5E11502C"/>
    <w:rsid w:val="5F182A16"/>
    <w:rsid w:val="5F7C2E4D"/>
    <w:rsid w:val="5F8958CE"/>
    <w:rsid w:val="5F934BE4"/>
    <w:rsid w:val="602C29BD"/>
    <w:rsid w:val="605925D9"/>
    <w:rsid w:val="61711A18"/>
    <w:rsid w:val="61FC4E73"/>
    <w:rsid w:val="63093BD6"/>
    <w:rsid w:val="631A3484"/>
    <w:rsid w:val="63AE6E80"/>
    <w:rsid w:val="64CF43AA"/>
    <w:rsid w:val="65906B0F"/>
    <w:rsid w:val="66C51F70"/>
    <w:rsid w:val="68611C5D"/>
    <w:rsid w:val="68956789"/>
    <w:rsid w:val="689B08CC"/>
    <w:rsid w:val="6A0B7659"/>
    <w:rsid w:val="6A2B50C3"/>
    <w:rsid w:val="6B6303F0"/>
    <w:rsid w:val="6BB75990"/>
    <w:rsid w:val="6BEF1633"/>
    <w:rsid w:val="6D237147"/>
    <w:rsid w:val="6D51195D"/>
    <w:rsid w:val="6E090E53"/>
    <w:rsid w:val="6FEF4E74"/>
    <w:rsid w:val="7012067B"/>
    <w:rsid w:val="70222E59"/>
    <w:rsid w:val="707A5921"/>
    <w:rsid w:val="71D3573C"/>
    <w:rsid w:val="73FB6AA1"/>
    <w:rsid w:val="7449332A"/>
    <w:rsid w:val="74B600E1"/>
    <w:rsid w:val="7620285D"/>
    <w:rsid w:val="7720264E"/>
    <w:rsid w:val="774D5C98"/>
    <w:rsid w:val="77A47BC8"/>
    <w:rsid w:val="77FF5A29"/>
    <w:rsid w:val="79C86DD9"/>
    <w:rsid w:val="7A144C32"/>
    <w:rsid w:val="7C195D64"/>
    <w:rsid w:val="7C4D1853"/>
    <w:rsid w:val="7CDC5AA3"/>
    <w:rsid w:val="7DB7603B"/>
    <w:rsid w:val="7F3E2EE4"/>
    <w:rsid w:val="8BF10ACF"/>
    <w:rsid w:val="BFBE9AED"/>
    <w:rsid w:val="FDBADE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2"/>
    <w:basedOn w:val="1"/>
    <w:next w:val="1"/>
    <w:link w:val="10"/>
    <w:qFormat/>
    <w:uiPriority w:val="0"/>
    <w:pPr>
      <w:keepNext/>
      <w:keepLines/>
      <w:spacing w:before="260" w:after="260" w:line="416" w:lineRule="auto"/>
      <w:outlineLvl w:val="1"/>
    </w:pPr>
    <w:rPr>
      <w:rFonts w:ascii="仿宋_GB2312" w:hAnsi="仿宋_GB2312" w:eastAsia="仿宋_GB2312"/>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rPr>
  </w:style>
  <w:style w:type="paragraph" w:styleId="4">
    <w:name w:val="Normal Indent"/>
    <w:basedOn w:val="1"/>
    <w:unhideWhenUsed/>
    <w:qFormat/>
    <w:uiPriority w:val="0"/>
    <w:pPr>
      <w:ind w:firstLine="420" w:firstLineChars="200"/>
    </w:pPr>
  </w:style>
  <w:style w:type="paragraph" w:styleId="5">
    <w:name w:val="footer"/>
    <w:basedOn w:val="1"/>
    <w:link w:val="11"/>
    <w:unhideWhenUsed/>
    <w:qFormat/>
    <w:uiPriority w:val="99"/>
    <w:pPr>
      <w:tabs>
        <w:tab w:val="center" w:pos="4153"/>
        <w:tab w:val="right" w:pos="8306"/>
      </w:tabs>
      <w:snapToGrid w:val="0"/>
      <w:jc w:val="left"/>
    </w:pPr>
    <w:rPr>
      <w:rFonts w:ascii="Times New Roman" w:hAnsi="Times New Roman"/>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9">
    <w:name w:val="page number"/>
    <w:basedOn w:val="8"/>
    <w:unhideWhenUsed/>
    <w:qFormat/>
    <w:uiPriority w:val="99"/>
  </w:style>
  <w:style w:type="character" w:customStyle="1" w:styleId="10">
    <w:name w:val="标题 2 字符"/>
    <w:basedOn w:val="8"/>
    <w:link w:val="3"/>
    <w:qFormat/>
    <w:uiPriority w:val="99"/>
    <w:rPr>
      <w:rFonts w:ascii="仿宋_GB2312" w:hAnsi="仿宋_GB2312" w:eastAsia="仿宋_GB2312"/>
      <w:bCs/>
      <w:sz w:val="32"/>
      <w:szCs w:val="32"/>
    </w:rPr>
  </w:style>
  <w:style w:type="character" w:customStyle="1" w:styleId="11">
    <w:name w:val="页脚 字符"/>
    <w:link w:val="5"/>
    <w:qFormat/>
    <w:uiPriority w:val="99"/>
    <w:rPr>
      <w:rFonts w:ascii="Times New Roman" w:hAnsi="Times New Roman"/>
      <w:sz w:val="18"/>
      <w:szCs w:val="18"/>
    </w:rPr>
  </w:style>
  <w:style w:type="character" w:customStyle="1" w:styleId="12">
    <w:name w:val="页眉 字符"/>
    <w:link w:val="6"/>
    <w:qFormat/>
    <w:uiPriority w:val="99"/>
    <w:rPr>
      <w:rFonts w:ascii="Times New Roman" w:hAnsi="Times New Roman"/>
      <w:sz w:val="18"/>
      <w:szCs w:val="18"/>
    </w:rPr>
  </w:style>
  <w:style w:type="character" w:customStyle="1" w:styleId="13">
    <w:name w:val="页脚 字符1"/>
    <w:basedOn w:val="8"/>
    <w:semiHidden/>
    <w:qFormat/>
    <w:uiPriority w:val="99"/>
    <w:rPr>
      <w:sz w:val="18"/>
      <w:szCs w:val="18"/>
    </w:rPr>
  </w:style>
  <w:style w:type="character" w:customStyle="1" w:styleId="14">
    <w:name w:val="页眉 字符1"/>
    <w:basedOn w:val="8"/>
    <w:semiHidden/>
    <w:qFormat/>
    <w:uiPriority w:val="99"/>
    <w:rPr>
      <w:sz w:val="18"/>
      <w:szCs w:val="18"/>
    </w:rPr>
  </w:style>
  <w:style w:type="character" w:customStyle="1" w:styleId="15">
    <w:name w:val="NormalCharacter"/>
    <w:link w:val="16"/>
    <w:qFormat/>
    <w:uiPriority w:val="0"/>
    <w:rPr>
      <w:kern w:val="0"/>
      <w:sz w:val="20"/>
      <w:szCs w:val="20"/>
    </w:rPr>
  </w:style>
  <w:style w:type="paragraph" w:customStyle="1" w:styleId="16">
    <w:name w:val="UserStyle_4"/>
    <w:basedOn w:val="1"/>
    <w:link w:val="15"/>
    <w:qFormat/>
    <w:uiPriority w:val="0"/>
    <w:pPr>
      <w:textAlignment w:val="baseline"/>
    </w:pPr>
    <w:rPr>
      <w:kern w:val="0"/>
      <w:sz w:val="20"/>
      <w:szCs w:val="20"/>
    </w:rPr>
  </w:style>
  <w:style w:type="paragraph" w:customStyle="1" w:styleId="17">
    <w:name w:val="Heading2"/>
    <w:basedOn w:val="1"/>
    <w:next w:val="1"/>
    <w:qFormat/>
    <w:uiPriority w:val="0"/>
    <w:pPr>
      <w:keepNext/>
      <w:keepLines/>
      <w:spacing w:line="579" w:lineRule="exact"/>
      <w:textAlignment w:val="baseline"/>
    </w:pPr>
    <w:rPr>
      <w:rFonts w:ascii="Arial" w:hAnsi="Arial" w:eastAsia="黑体"/>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11</Pages>
  <Words>1082</Words>
  <Characters>6171</Characters>
  <Lines>51</Lines>
  <Paragraphs>14</Paragraphs>
  <TotalTime>4</TotalTime>
  <ScaleCrop>false</ScaleCrop>
  <LinksUpToDate>false</LinksUpToDate>
  <CharactersWithSpaces>7239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2021-04-17T06:05:00Z</dcterms:created>
  <dc:creator>许 业焜</dc:creator>
  <cp:lastModifiedBy>干货小铺</cp:lastModifiedBy>
  <cp:lastPrinted>2021-04-29T19:19:00Z</cp:lastPrinted>
  <dcterms:modified xsi:type="dcterms:W3CDTF">2021-08-05T10:14:31Z</dcterms:modified>
  <dc:title>附件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372ADE6769D145DA92DDBA1DF18D0871</vt:lpwstr>
  </property>
</Properties>
</file>