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5E9C3">
      <w:pPr>
        <w:widowControl w:val="0"/>
        <w:kinsoku/>
        <w:overflowPunct w:val="0"/>
        <w:autoSpaceDE/>
        <w:autoSpaceDN/>
        <w:adjustRightInd/>
        <w:snapToGrid/>
        <w:jc w:val="center"/>
        <w:rPr>
          <w:rFonts w:ascii="Times New Roman" w:hAnsi="Times New Roman" w:eastAsia="方正小标宋简体" w:cs="Times New Roman"/>
          <w:color w:val="000000" w:themeColor="text1"/>
          <w:sz w:val="64"/>
          <w:szCs w:val="64"/>
          <w:lang w:eastAsia="zh-CN"/>
          <w14:textFill>
            <w14:solidFill>
              <w14:schemeClr w14:val="tx1"/>
            </w14:solidFill>
          </w14:textFill>
        </w:rPr>
      </w:pPr>
      <w:bookmarkStart w:id="1203" w:name="_GoBack"/>
      <w:bookmarkEnd w:id="1203"/>
      <w:r>
        <w:rPr>
          <w:rFonts w:ascii="Times New Roman" w:hAnsi="Times New Roman" w:eastAsia="方正小标宋简体" w:cs="Times New Roman"/>
          <w:color w:val="000000" w:themeColor="text1"/>
          <w:sz w:val="64"/>
          <w:szCs w:val="64"/>
          <w:lang w:eastAsia="zh-CN"/>
          <w14:textFill>
            <w14:solidFill>
              <w14:schemeClr w14:val="tx1"/>
            </w14:solidFill>
          </w14:textFill>
        </w:rPr>
        <w:t>肇庆市国民经济和社会发展</w:t>
      </w:r>
    </w:p>
    <w:p w14:paraId="219BECC3">
      <w:pPr>
        <w:widowControl w:val="0"/>
        <w:kinsoku/>
        <w:overflowPunct w:val="0"/>
        <w:autoSpaceDE/>
        <w:autoSpaceDN/>
        <w:adjustRightInd/>
        <w:snapToGrid/>
        <w:jc w:val="center"/>
        <w:outlineLvl w:val="0"/>
        <w:rPr>
          <w:rFonts w:ascii="Times New Roman" w:hAnsi="Times New Roman" w:eastAsia="方正小标宋简体" w:cs="Times New Roman"/>
          <w:color w:val="000000" w:themeColor="text1"/>
          <w:sz w:val="64"/>
          <w:szCs w:val="64"/>
          <w:lang w:eastAsia="zh-CN"/>
          <w14:textFill>
            <w14:solidFill>
              <w14:schemeClr w14:val="tx1"/>
            </w14:solidFill>
          </w14:textFill>
        </w:rPr>
      </w:pPr>
      <w:bookmarkStart w:id="0" w:name="_Toc2068"/>
      <w:bookmarkStart w:id="1" w:name="_Toc7891"/>
      <w:bookmarkStart w:id="2" w:name="_Toc16609"/>
      <w:bookmarkStart w:id="3" w:name="_Toc591102288"/>
      <w:bookmarkStart w:id="4" w:name="_Toc26652"/>
      <w:bookmarkStart w:id="5" w:name="_Toc756802582"/>
      <w:bookmarkStart w:id="6" w:name="_Toc739173687"/>
      <w:bookmarkStart w:id="7" w:name="_Toc626252187"/>
      <w:bookmarkStart w:id="8" w:name="_Toc29779"/>
      <w:bookmarkStart w:id="9" w:name="_Toc29755"/>
      <w:bookmarkStart w:id="10" w:name="_Toc29358"/>
      <w:bookmarkStart w:id="11" w:name="_Toc7897"/>
      <w:r>
        <w:rPr>
          <w:rFonts w:ascii="Times New Roman" w:hAnsi="Times New Roman" w:eastAsia="方正小标宋简体" w:cs="Times New Roman"/>
          <w:color w:val="000000" w:themeColor="text1"/>
          <w:sz w:val="64"/>
          <w:szCs w:val="64"/>
          <w:lang w:eastAsia="zh-CN"/>
          <w14:textFill>
            <w14:solidFill>
              <w14:schemeClr w14:val="tx1"/>
            </w14:solidFill>
          </w14:textFill>
        </w:rPr>
        <w:t>第十五个五年规划纲要</w:t>
      </w:r>
      <w:bookmarkEnd w:id="0"/>
      <w:bookmarkEnd w:id="1"/>
      <w:bookmarkEnd w:id="2"/>
      <w:bookmarkEnd w:id="3"/>
      <w:bookmarkEnd w:id="4"/>
      <w:bookmarkEnd w:id="5"/>
      <w:bookmarkEnd w:id="6"/>
      <w:bookmarkEnd w:id="7"/>
      <w:bookmarkEnd w:id="8"/>
      <w:bookmarkEnd w:id="9"/>
      <w:bookmarkEnd w:id="10"/>
      <w:bookmarkEnd w:id="11"/>
    </w:p>
    <w:p w14:paraId="23AA0713">
      <w:pPr>
        <w:widowControl w:val="0"/>
        <w:kinsoku/>
        <w:overflowPunct w:val="0"/>
        <w:autoSpaceDE/>
        <w:autoSpaceDN/>
        <w:jc w:val="center"/>
        <w:rPr>
          <w:rFonts w:ascii="Times New Roman" w:hAnsi="Times New Roman" w:eastAsia="方正楷体简体" w:cs="Times New Roman"/>
          <w:color w:val="000000" w:themeColor="text1"/>
          <w:sz w:val="44"/>
          <w:szCs w:val="44"/>
          <w:lang w:eastAsia="zh-CN"/>
          <w14:textFill>
            <w14:solidFill>
              <w14:schemeClr w14:val="tx1"/>
            </w14:solidFill>
          </w14:textFill>
        </w:rPr>
      </w:pPr>
    </w:p>
    <w:p w14:paraId="1B534172">
      <w:pPr>
        <w:pStyle w:val="6"/>
        <w:widowControl w:val="0"/>
        <w:kinsoku/>
        <w:overflowPunct w:val="0"/>
        <w:autoSpaceDE/>
        <w:autoSpaceDN/>
        <w:ind w:firstLine="880"/>
        <w:rPr>
          <w:rFonts w:ascii="Times New Roman" w:hAnsi="Times New Roman" w:eastAsia="方正楷体_GBK" w:cs="Times New Roman"/>
          <w:color w:val="000000" w:themeColor="text1"/>
          <w:sz w:val="44"/>
          <w:szCs w:val="44"/>
          <w:lang w:eastAsia="zh-CN"/>
          <w14:textFill>
            <w14:solidFill>
              <w14:schemeClr w14:val="tx1"/>
            </w14:solidFill>
          </w14:textFill>
        </w:rPr>
      </w:pPr>
    </w:p>
    <w:p w14:paraId="047F1D1F">
      <w:pPr>
        <w:pStyle w:val="6"/>
        <w:widowControl w:val="0"/>
        <w:kinsoku/>
        <w:overflowPunct w:val="0"/>
        <w:autoSpaceDE/>
        <w:autoSpaceDN/>
        <w:ind w:firstLine="880"/>
        <w:rPr>
          <w:rFonts w:ascii="Times New Roman" w:hAnsi="Times New Roman" w:eastAsia="方正楷体_GBK" w:cs="Times New Roman"/>
          <w:color w:val="000000" w:themeColor="text1"/>
          <w:sz w:val="44"/>
          <w:szCs w:val="44"/>
          <w:lang w:eastAsia="zh-CN"/>
          <w14:textFill>
            <w14:solidFill>
              <w14:schemeClr w14:val="tx1"/>
            </w14:solidFill>
          </w14:textFill>
        </w:rPr>
      </w:pPr>
    </w:p>
    <w:p w14:paraId="017FE926">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64C1F6AB">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6D2EE37A">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03733D0C">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6C8FE17E">
      <w:pPr>
        <w:pStyle w:val="8"/>
        <w:widowControl w:val="0"/>
        <w:kinsoku/>
        <w:overflowPunct w:val="0"/>
        <w:autoSpaceDE/>
        <w:autoSpaceDN/>
        <w:adjustRightInd/>
        <w:snapToGrid/>
        <w:spacing w:after="0"/>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538FF2F5">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3119F9F7">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0836CC24">
      <w:pPr>
        <w:pStyle w:val="8"/>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p>
    <w:p w14:paraId="4F3D2C8A">
      <w:pPr>
        <w:pStyle w:val="8"/>
        <w:widowControl w:val="0"/>
        <w:kinsoku/>
        <w:overflowPunct w:val="0"/>
        <w:autoSpaceDE/>
        <w:autoSpaceDN/>
        <w:adjustRightInd/>
        <w:snapToGrid/>
        <w:spacing w:after="0" w:line="640" w:lineRule="exact"/>
        <w:jc w:val="center"/>
        <w:textAlignment w:val="auto"/>
        <w:rPr>
          <w:rFonts w:ascii="Times New Roman" w:hAnsi="Times New Roman" w:eastAsia="方正楷体_GBK"/>
          <w:snapToGrid/>
          <w:color w:val="000000" w:themeColor="text1"/>
          <w:kern w:val="2"/>
          <w:sz w:val="36"/>
          <w:szCs w:val="36"/>
          <w14:textFill>
            <w14:solidFill>
              <w14:schemeClr w14:val="tx1"/>
            </w14:solidFill>
          </w14:textFill>
        </w:rPr>
      </w:pPr>
      <w:r>
        <w:rPr>
          <w:rFonts w:ascii="Times New Roman" w:hAnsi="Times New Roman" w:eastAsia="方正楷体_GBK"/>
          <w:snapToGrid/>
          <w:color w:val="000000" w:themeColor="text1"/>
          <w:kern w:val="2"/>
          <w:sz w:val="36"/>
          <w:szCs w:val="36"/>
          <w14:textFill>
            <w14:solidFill>
              <w14:schemeClr w14:val="tx1"/>
            </w14:solidFill>
          </w14:textFill>
        </w:rPr>
        <w:t>肇庆市人民政府</w:t>
      </w:r>
    </w:p>
    <w:p w14:paraId="3B73A1A6">
      <w:pPr>
        <w:pStyle w:val="8"/>
        <w:widowControl w:val="0"/>
        <w:kinsoku/>
        <w:overflowPunct w:val="0"/>
        <w:autoSpaceDE/>
        <w:autoSpaceDN/>
        <w:adjustRightInd/>
        <w:snapToGrid/>
        <w:spacing w:after="0" w:line="640" w:lineRule="exact"/>
        <w:jc w:val="center"/>
        <w:textAlignment w:val="auto"/>
        <w:rPr>
          <w:rFonts w:ascii="Times New Roman" w:hAnsi="Times New Roman" w:eastAsia="方正楷体_GBK"/>
          <w:snapToGrid/>
          <w:color w:val="000000" w:themeColor="text1"/>
          <w:kern w:val="2"/>
          <w:sz w:val="36"/>
          <w:szCs w:val="36"/>
          <w14:textFill>
            <w14:solidFill>
              <w14:schemeClr w14:val="tx1"/>
            </w14:solidFill>
          </w14:textFill>
        </w:rPr>
      </w:pPr>
      <w:r>
        <w:rPr>
          <w:rFonts w:ascii="Times New Roman" w:hAnsi="Times New Roman" w:eastAsia="方正楷体_GBK"/>
          <w:snapToGrid/>
          <w:color w:val="000000" w:themeColor="text1"/>
          <w:kern w:val="2"/>
          <w:sz w:val="36"/>
          <w:szCs w:val="36"/>
          <w14:textFill>
            <w14:solidFill>
              <w14:schemeClr w14:val="tx1"/>
            </w14:solidFill>
          </w14:textFill>
        </w:rPr>
        <w:t>二〇二六年</w:t>
      </w:r>
      <w:r>
        <w:rPr>
          <w:rFonts w:hint="eastAsia" w:ascii="Times New Roman" w:hAnsi="Times New Roman" w:eastAsia="方正楷体_GBK"/>
          <w:snapToGrid/>
          <w:color w:val="000000" w:themeColor="text1"/>
          <w:kern w:val="2"/>
          <w:sz w:val="36"/>
          <w:szCs w:val="36"/>
          <w:lang w:eastAsia="zh-CN"/>
          <w14:textFill>
            <w14:solidFill>
              <w14:schemeClr w14:val="tx1"/>
            </w14:solidFill>
          </w14:textFill>
        </w:rPr>
        <w:t>六</w:t>
      </w:r>
      <w:r>
        <w:rPr>
          <w:rFonts w:ascii="Times New Roman" w:hAnsi="Times New Roman" w:eastAsia="方正楷体_GBK"/>
          <w:snapToGrid/>
          <w:color w:val="000000" w:themeColor="text1"/>
          <w:kern w:val="2"/>
          <w:sz w:val="36"/>
          <w:szCs w:val="36"/>
          <w14:textFill>
            <w14:solidFill>
              <w14:schemeClr w14:val="tx1"/>
            </w14:solidFill>
          </w14:textFill>
        </w:rPr>
        <w:t>月</w:t>
      </w:r>
    </w:p>
    <w:p w14:paraId="5597F229">
      <w:pPr>
        <w:widowControl w:val="0"/>
        <w:kinsoku/>
        <w:overflowPunct w:val="0"/>
        <w:autoSpaceDE/>
        <w:autoSpaceDN/>
        <w:adjustRightInd/>
        <w:snapToGrid/>
        <w:jc w:val="center"/>
        <w:textAlignment w:val="auto"/>
        <w:rPr>
          <w:rFonts w:ascii="Times New Roman" w:hAnsi="Times New Roman" w:eastAsia="方正小标宋简体" w:cs="方正小标宋简体"/>
          <w:snapToGrid/>
          <w:color w:val="000000" w:themeColor="text1"/>
          <w:kern w:val="2"/>
          <w:sz w:val="36"/>
          <w:szCs w:val="28"/>
          <w14:textFill>
            <w14:solidFill>
              <w14:schemeClr w14:val="tx1"/>
            </w14:solidFill>
          </w14:textFill>
        </w:rPr>
      </w:pPr>
      <w:r>
        <w:rPr>
          <w:rFonts w:hint="eastAsia" w:ascii="Times New Roman" w:hAnsi="Times New Roman" w:eastAsia="方正小标宋简体" w:cs="方正小标宋简体"/>
          <w:snapToGrid/>
          <w:color w:val="000000" w:themeColor="text1"/>
          <w:kern w:val="2"/>
          <w:sz w:val="36"/>
          <w:szCs w:val="28"/>
          <w14:textFill>
            <w14:solidFill>
              <w14:schemeClr w14:val="tx1"/>
            </w14:solidFill>
          </w14:textFill>
        </w:rPr>
        <w:br w:type="page"/>
      </w:r>
    </w:p>
    <w:p w14:paraId="7930FE6D">
      <w:pPr>
        <w:pStyle w:val="8"/>
        <w:widowControl w:val="0"/>
        <w:kinsoku/>
        <w:overflowPunct w:val="0"/>
        <w:autoSpaceDE/>
        <w:autoSpaceDN/>
        <w:adjustRightInd/>
        <w:snapToGrid/>
        <w:spacing w:after="0" w:line="400" w:lineRule="exact"/>
        <w:jc w:val="center"/>
        <w:rPr>
          <w:rFonts w:ascii="Times New Roman" w:hAnsi="Times New Roman" w:eastAsia="方正小标宋_GBK" w:cs="方正小标宋_GBK"/>
          <w:color w:val="000000" w:themeColor="text1"/>
          <w:sz w:val="44"/>
          <w:szCs w:val="44"/>
          <w:lang w:eastAsia="zh-CN"/>
          <w14:textFill>
            <w14:solidFill>
              <w14:schemeClr w14:val="tx1"/>
            </w14:solidFill>
          </w14:textFill>
        </w:rPr>
      </w:pPr>
    </w:p>
    <w:p w14:paraId="4B717482">
      <w:pPr>
        <w:pStyle w:val="8"/>
        <w:widowControl w:val="0"/>
        <w:kinsoku/>
        <w:overflowPunct w:val="0"/>
        <w:autoSpaceDE/>
        <w:autoSpaceDN/>
        <w:adjustRightInd/>
        <w:snapToGrid/>
        <w:spacing w:after="0" w:line="700" w:lineRule="exact"/>
        <w:jc w:val="center"/>
        <w:rPr>
          <w:rFonts w:ascii="Times New Roman" w:hAnsi="Times New Roman" w:eastAsia="方正小标宋_GBK" w:cs="方正小标宋_GBK"/>
          <w:color w:val="000000" w:themeColor="text1"/>
          <w:sz w:val="44"/>
          <w:szCs w:val="44"/>
          <w:lang w:eastAsia="zh-CN"/>
          <w14:textFill>
            <w14:solidFill>
              <w14:schemeClr w14:val="tx1"/>
            </w14:solidFill>
          </w14:textFill>
        </w:rPr>
      </w:pPr>
      <w:r>
        <w:rPr>
          <w:rFonts w:hint="eastAsia" w:ascii="Times New Roman" w:hAnsi="Times New Roman" w:eastAsia="方正小标宋_GBK" w:cs="方正小标宋_GBK"/>
          <w:color w:val="000000" w:themeColor="text1"/>
          <w:sz w:val="44"/>
          <w:szCs w:val="44"/>
          <w:lang w:eastAsia="zh-CN"/>
          <w14:textFill>
            <w14:solidFill>
              <w14:schemeClr w14:val="tx1"/>
            </w14:solidFill>
          </w14:textFill>
        </w:rPr>
        <w:t>目  录</w:t>
      </w:r>
    </w:p>
    <w:p w14:paraId="0896A367">
      <w:pPr>
        <w:pStyle w:val="2"/>
        <w:widowControl w:val="0"/>
        <w:tabs>
          <w:tab w:val="right" w:leader="middleDot" w:pos="8820"/>
        </w:tabs>
        <w:kinsoku/>
        <w:overflowPunct w:val="0"/>
        <w:autoSpaceDE/>
        <w:autoSpaceDN/>
        <w:adjustRightInd/>
        <w:snapToGrid/>
        <w:spacing w:beforeAutospacing="0" w:afterAutospacing="0" w:line="590" w:lineRule="exact"/>
        <w:ind w:firstLine="320" w:firstLineChars="100"/>
        <w:jc w:val="both"/>
        <w:rPr>
          <w:rFonts w:hint="default" w:ascii="Times New Roman" w:hAnsi="Times New Roman" w:eastAsia="方正楷体_GBK" w:cs="方正楷体_GBK"/>
          <w:b w:val="0"/>
          <w:color w:val="000000" w:themeColor="text1"/>
          <w:sz w:val="32"/>
          <w:szCs w:val="32"/>
          <w14:textFill>
            <w14:solidFill>
              <w14:schemeClr w14:val="tx1"/>
            </w14:solidFill>
          </w14:textFill>
        </w:rPr>
      </w:pPr>
    </w:p>
    <w:p w14:paraId="60B34C19">
      <w:pPr>
        <w:widowControl w:val="0"/>
        <w:tabs>
          <w:tab w:val="right" w:leader="middleDot" w:pos="8820"/>
        </w:tabs>
        <w:kinsoku/>
        <w:overflowPunct w:val="0"/>
        <w:autoSpaceDE/>
        <w:autoSpaceDN/>
        <w:adjustRightInd/>
        <w:snapToGrid/>
        <w:spacing w:line="596" w:lineRule="exact"/>
        <w:ind w:left="320" w:hanging="320" w:hanging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第一章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凝心聚力、攻坚克难，全面建设社会主义现代化新征程稳步向前</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w:t>
      </w:r>
    </w:p>
    <w:p w14:paraId="16B641EF">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十四五</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时期发展成效和存在问题</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w:t>
      </w:r>
    </w:p>
    <w:p w14:paraId="5FF05945">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十五五</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时期发展环境</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13</w:t>
      </w:r>
    </w:p>
    <w:p w14:paraId="288245BA">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指导方针</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w:t>
      </w:r>
    </w:p>
    <w:p w14:paraId="4BF021E5">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第四节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战略部署</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20</w:t>
      </w:r>
    </w:p>
    <w:p w14:paraId="0C28FEE1">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第五节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主要目标</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21</w:t>
      </w:r>
    </w:p>
    <w:p w14:paraId="12A7919E">
      <w:pPr>
        <w:widowControl w:val="0"/>
        <w:tabs>
          <w:tab w:val="right" w:leader="middleDot" w:pos="8820"/>
        </w:tabs>
        <w:kinsoku/>
        <w:overflowPunct w:val="0"/>
        <w:autoSpaceDE/>
        <w:autoSpaceDN/>
        <w:adjustRightInd/>
        <w:snapToGrid/>
        <w:spacing w:line="596"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第二章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深入实施</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2"/>
          <w:szCs w:val="32"/>
          <w14:textFill>
            <w14:solidFill>
              <w14:schemeClr w14:val="tx1"/>
            </w14:solidFill>
          </w14:textFill>
        </w:rPr>
        <w:t>九九</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2"/>
          <w:szCs w:val="32"/>
          <w14:textFill>
            <w14:solidFill>
              <w14:schemeClr w14:val="tx1"/>
            </w14:solidFill>
          </w14:textFill>
        </w:rPr>
        <w:t>融湾行动，打造粤港澳大湾区面向大西南门户枢纽</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27</w:t>
      </w:r>
    </w:p>
    <w:p w14:paraId="66EE721D">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推动全方位互联互通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27</w:t>
      </w:r>
    </w:p>
    <w:p w14:paraId="77306114">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加强重大区域平台对接</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28</w:t>
      </w:r>
    </w:p>
    <w:p w14:paraId="39ADC63F">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推动产业科技合作走深走实</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2</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w:t>
      </w:r>
    </w:p>
    <w:p w14:paraId="1264C9ED">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第四节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强化粤港澳大湾区面向大西南门户枢纽功能</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30</w:t>
      </w:r>
    </w:p>
    <w:p w14:paraId="464E963F">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建设粤港澳大湾区宜居宜业宜游新家园</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32</w:t>
      </w:r>
    </w:p>
    <w:p w14:paraId="55BD6AE2">
      <w:pPr>
        <w:widowControl w:val="0"/>
        <w:tabs>
          <w:tab w:val="right" w:leader="middleDot" w:pos="8820"/>
        </w:tabs>
        <w:kinsoku/>
        <w:overflowPunct w:val="0"/>
        <w:autoSpaceDE/>
        <w:autoSpaceDN/>
        <w:adjustRightInd/>
        <w:snapToGrid/>
        <w:spacing w:line="596"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第三章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加快建设现代化产业体系，打造珠三角新增长极</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35</w:t>
      </w:r>
    </w:p>
    <w:p w14:paraId="5F47B2D0">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培育壮大主导产业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35</w:t>
      </w:r>
    </w:p>
    <w:p w14:paraId="4DEBBEE7">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优化提升传统产业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37</w:t>
      </w:r>
    </w:p>
    <w:p w14:paraId="34EF54E2">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实施未来产业培育发展行动</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39</w:t>
      </w:r>
    </w:p>
    <w:p w14:paraId="2332458F">
      <w:pPr>
        <w:widowControl w:val="0"/>
        <w:tabs>
          <w:tab w:val="right" w:leader="middleDot" w:pos="8820"/>
        </w:tabs>
        <w:kinsoku/>
        <w:overflowPunct w:val="0"/>
        <w:autoSpaceDE/>
        <w:autoSpaceDN/>
        <w:adjustRightInd/>
        <w:snapToGrid/>
        <w:spacing w:line="596"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加快发展现代服务业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42</w:t>
      </w:r>
    </w:p>
    <w:p w14:paraId="5F47FAB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打造高水平产业发展载体</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46</w:t>
      </w:r>
    </w:p>
    <w:p w14:paraId="5E910562">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第六节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深化一二三产业融合发展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50</w:t>
      </w:r>
    </w:p>
    <w:p w14:paraId="525C3FC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第七节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积极参与国际国内重大产业链合作</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51</w:t>
      </w:r>
    </w:p>
    <w:p w14:paraId="093F517D">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第四章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全面增强科技创新能力，引领发展新质生产力</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55</w:t>
      </w:r>
    </w:p>
    <w:p w14:paraId="08514440">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构建</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一廊四园多节点</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创新空间布局</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55</w:t>
      </w:r>
    </w:p>
    <w:p w14:paraId="122AE343">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建设高鼎端科教创新走廊</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55</w:t>
      </w:r>
    </w:p>
    <w:p w14:paraId="740DB486">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加快高能级创新平台建设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57</w:t>
      </w:r>
    </w:p>
    <w:p w14:paraId="79D89348">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培育壮大企业创新主体</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58</w:t>
      </w:r>
    </w:p>
    <w:p w14:paraId="4D46DE0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一体推进教育科技人才发展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59</w:t>
      </w:r>
    </w:p>
    <w:p w14:paraId="3EA0E59E">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第五章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推动人工智能技术全面应用，加快建设数字肇庆</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62</w:t>
      </w:r>
    </w:p>
    <w:p w14:paraId="48ED3DD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深入推进数据要素价值化</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62</w:t>
      </w:r>
    </w:p>
    <w:p w14:paraId="7A6AC018">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夯实数字基础支撑底座</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63</w:t>
      </w:r>
    </w:p>
    <w:p w14:paraId="5572D302">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推进产业数字化和数字产业化</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64</w:t>
      </w:r>
    </w:p>
    <w:p w14:paraId="7966E8E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加快建设数字政府与数字社会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66</w:t>
      </w:r>
    </w:p>
    <w:p w14:paraId="3CF36060">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第五节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拓展</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人工智能+</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场景应用</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67</w:t>
      </w:r>
    </w:p>
    <w:p w14:paraId="60EA7320">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第六章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建设现代化基础设施体系，强化支撑保障作用</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69</w:t>
      </w:r>
    </w:p>
    <w:p w14:paraId="57B9CF37">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构建现代化综合交通运输体系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69</w:t>
      </w:r>
    </w:p>
    <w:p w14:paraId="0434C4E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加快新型能源基础设施建设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70</w:t>
      </w:r>
    </w:p>
    <w:p w14:paraId="27BA4D0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加快建设</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大水网</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水利基础设施</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72</w:t>
      </w:r>
    </w:p>
    <w:p w14:paraId="3B5095F6">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第四节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切实加快新型基础设施建设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73</w:t>
      </w:r>
    </w:p>
    <w:p w14:paraId="76F1265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第五节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适度超前布局民生工程基础设施</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74</w:t>
      </w:r>
    </w:p>
    <w:p w14:paraId="3078E633">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第七章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落实扩大内需战略，服务建设国内大市场</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78</w:t>
      </w:r>
    </w:p>
    <w:p w14:paraId="3FDF085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多措并举做旺消费市场</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78</w:t>
      </w:r>
    </w:p>
    <w:p w14:paraId="624BE1C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精准扩大有效投资</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80</w:t>
      </w:r>
    </w:p>
    <w:p w14:paraId="1F990872">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服务全国统一大市场建设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82</w:t>
      </w:r>
    </w:p>
    <w:p w14:paraId="681D6DCD">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积极参与</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海上新广东</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84</w:t>
      </w:r>
    </w:p>
    <w:p w14:paraId="39ABF9A1">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第八章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推进高水平改革开放，全面激发发展活力</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86</w:t>
      </w:r>
    </w:p>
    <w:p w14:paraId="6999B3E6">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促进各类经营主体协同发展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86</w:t>
      </w:r>
    </w:p>
    <w:p w14:paraId="7CDD6EA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深化要素市场化配置综合改革</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87</w:t>
      </w:r>
    </w:p>
    <w:p w14:paraId="07ADAFC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深化投融资体制和财税改革</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89</w:t>
      </w:r>
    </w:p>
    <w:p w14:paraId="4BE11D9B">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打造市场化、法治化、国际化的营商环境</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90</w:t>
      </w:r>
    </w:p>
    <w:p w14:paraId="21CDF96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建设现代金融体系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92</w:t>
      </w:r>
    </w:p>
    <w:p w14:paraId="18340A2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第六节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深化高水平对外开放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94</w:t>
      </w:r>
    </w:p>
    <w:p w14:paraId="2871E9D0">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第九章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深入实施</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2"/>
          <w:szCs w:val="32"/>
          <w14:textFill>
            <w14:solidFill>
              <w14:schemeClr w14:val="tx1"/>
            </w14:solidFill>
          </w14:textFill>
        </w:rPr>
        <w:t>百县千镇万村高质量发展工程</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32"/>
          <w:szCs w:val="32"/>
          <w14:textFill>
            <w14:solidFill>
              <w14:schemeClr w14:val="tx1"/>
            </w14:solidFill>
          </w14:textFill>
        </w:rPr>
        <w:t>，推进城乡融合发展</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99</w:t>
      </w:r>
    </w:p>
    <w:p w14:paraId="4ECC68A8">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加快构建现代农业产业体系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99</w:t>
      </w:r>
    </w:p>
    <w:p w14:paraId="4D5FF6F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激活县域经济活力</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101</w:t>
      </w:r>
    </w:p>
    <w:p w14:paraId="0310C31D">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建设现代化和美乡村</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103</w:t>
      </w:r>
    </w:p>
    <w:p w14:paraId="1ECE6AC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第四节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完善城乡融合体制机制</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105</w:t>
      </w:r>
    </w:p>
    <w:p w14:paraId="19285EE5">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深化区域协调发展战略，构建优势互补区域经济布局</w:t>
      </w:r>
      <w:r>
        <w:rPr>
          <w:rFonts w:ascii="Times New Roman" w:hAnsi="Times New Roman" w:eastAsia="方正小标宋_GBK" w:cs="Times New Roman"/>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108</w:t>
      </w:r>
    </w:p>
    <w:p w14:paraId="6E584A7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加强</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东接西连</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w:t>
      </w:r>
      <w:r>
        <w:rPr>
          <w:rFonts w:hint="eastAsia" w:ascii="Times New Roman" w:hAnsi="Times New Roman" w:eastAsia="方正楷体_GBK" w:cs="方正楷体_GBK"/>
          <w:color w:val="000000" w:themeColor="text1"/>
          <w:sz w:val="32"/>
          <w:szCs w:val="32"/>
          <w14:textFill>
            <w14:solidFill>
              <w14:schemeClr w14:val="tx1"/>
            </w14:solidFill>
          </w14:textFill>
        </w:rPr>
        <w:t>区域合作</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108</w:t>
      </w:r>
    </w:p>
    <w:p w14:paraId="2BDE92D8">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推进东部城区一体化融合发展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109</w:t>
      </w:r>
    </w:p>
    <w:p w14:paraId="76157D9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稳步推进以县城为重要载体的城镇化建设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112</w:t>
      </w:r>
    </w:p>
    <w:p w14:paraId="690E0787">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第四节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健全区域协调发展机制</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113</w:t>
      </w:r>
    </w:p>
    <w:p w14:paraId="421A2353">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第十一章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坚持城市内涵式发展，建设人文之城、山水之城、活力之城</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lang w:eastAsia="zh-CN"/>
          <w14:textFill>
            <w14:solidFill>
              <w14:schemeClr w14:val="tx1"/>
            </w14:solidFill>
          </w14:textFill>
        </w:rPr>
        <w:t>116</w:t>
      </w:r>
    </w:p>
    <w:p w14:paraId="529F7BA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深入实施城市更新行动</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116</w:t>
      </w:r>
    </w:p>
    <w:p w14:paraId="4CC5347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全面提升城市内涵品质</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119</w:t>
      </w:r>
    </w:p>
    <w:p w14:paraId="1A39E858">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提升城市精细化管理水平</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20</w:t>
      </w:r>
    </w:p>
    <w:p w14:paraId="05CDC5C6">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推动房地产高质量发展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21</w:t>
      </w:r>
    </w:p>
    <w:p w14:paraId="485B2ADA">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提高农业转移人口市民化质量</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23</w:t>
      </w:r>
    </w:p>
    <w:p w14:paraId="29A1D73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第六节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全面激发城市活力</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24</w:t>
      </w:r>
    </w:p>
    <w:p w14:paraId="569F68B4">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第十二章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推进绿美肇庆生态建设，筑牢大湾区西部生态屏障</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25</w:t>
      </w:r>
    </w:p>
    <w:p w14:paraId="52092E19">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深入推进污染防治攻坚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25</w:t>
      </w:r>
    </w:p>
    <w:p w14:paraId="7438DE6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加快绿美肇庆生态建设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28</w:t>
      </w:r>
    </w:p>
    <w:p w14:paraId="3E3E0C6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积极稳妥推动和实现碳达峰</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30</w:t>
      </w:r>
    </w:p>
    <w:p w14:paraId="4B2CA0E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加快推动发展方式绿色转型</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31</w:t>
      </w:r>
    </w:p>
    <w:p w14:paraId="1AA10647">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第十三章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推动文旅体深度融合，建设新时代文化肇庆</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35</w:t>
      </w:r>
    </w:p>
    <w:p w14:paraId="001A58FA">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弘扬和践行社会主义核心价值观</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35</w:t>
      </w:r>
    </w:p>
    <w:p w14:paraId="1501C61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繁荣发展文化事业与产业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36</w:t>
      </w:r>
    </w:p>
    <w:p w14:paraId="04081CEB">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深入实施文化惠民工程</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38</w:t>
      </w:r>
    </w:p>
    <w:p w14:paraId="058AAD6D">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全力建设大湾区文旅名城、运动之城</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39</w:t>
      </w:r>
    </w:p>
    <w:p w14:paraId="0C663BDA">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第十四章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促进教育均衡发展，加快发展教育事业</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44</w:t>
      </w:r>
    </w:p>
    <w:p w14:paraId="0129623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落实立德树人根本任务</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44</w:t>
      </w:r>
    </w:p>
    <w:p w14:paraId="41CA5B8D">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促进基础教育提质发展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45</w:t>
      </w:r>
    </w:p>
    <w:p w14:paraId="145974A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提升高等教育和职业教育办学质量</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47</w:t>
      </w:r>
    </w:p>
    <w:p w14:paraId="01E2A59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全面加强教师队伍建设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48</w:t>
      </w:r>
    </w:p>
    <w:p w14:paraId="2461816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第五节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加强校园安全防范</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50</w:t>
      </w:r>
    </w:p>
    <w:p w14:paraId="567D76A9">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第六节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大力深化教育综合改革</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50</w:t>
      </w:r>
    </w:p>
    <w:p w14:paraId="3B4B5261">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第十五章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实施健康优先发展战略，建设健康肇庆</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53</w:t>
      </w:r>
    </w:p>
    <w:p w14:paraId="0FCC60E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强化医疗卫生服务能力建设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53</w:t>
      </w:r>
    </w:p>
    <w:p w14:paraId="52096030">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持续完善公共卫生体系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54</w:t>
      </w:r>
    </w:p>
    <w:p w14:paraId="2A04256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推动中医药事业发展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55</w:t>
      </w:r>
    </w:p>
    <w:p w14:paraId="54DD3C37">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深化医药卫生体制改革</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56</w:t>
      </w:r>
    </w:p>
    <w:p w14:paraId="0B3CF446">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第十六章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健全人口服务体系，促进人口高质量发展</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60</w:t>
      </w:r>
    </w:p>
    <w:p w14:paraId="3391999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第一节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着力构建生育友好型社会</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60</w:t>
      </w:r>
    </w:p>
    <w:p w14:paraId="0105003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完善婴幼儿照护服务</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61</w:t>
      </w:r>
    </w:p>
    <w:p w14:paraId="392D726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促进青年全面发展</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62</w:t>
      </w:r>
    </w:p>
    <w:p w14:paraId="49A9435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推进养老服务体系建设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63</w:t>
      </w:r>
    </w:p>
    <w:p w14:paraId="4D1BC7F0">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第十七章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强化民生保障，推进共同富裕</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66</w:t>
      </w:r>
    </w:p>
    <w:p w14:paraId="7294D47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促进高质量充分就业与城乡居民增收</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66</w:t>
      </w:r>
    </w:p>
    <w:p w14:paraId="1FBC068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健全多层次社会保障体系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68</w:t>
      </w:r>
    </w:p>
    <w:p w14:paraId="2C89A0F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保障重点群体基本权益</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69</w:t>
      </w:r>
    </w:p>
    <w:p w14:paraId="02B74ACA">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第十八章</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 推进依法治市，建设法治肇庆</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71</w:t>
      </w:r>
    </w:p>
    <w:p w14:paraId="1A6E224A">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高质量开展地方立法工作</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71</w:t>
      </w:r>
    </w:p>
    <w:p w14:paraId="510302A4">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推进依法行政和司法公正</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72</w:t>
      </w:r>
    </w:p>
    <w:p w14:paraId="7BD8D685">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加强法治社会建设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73</w:t>
      </w:r>
    </w:p>
    <w:p w14:paraId="2A9CCDFD">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深化发展全过程人民民主</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74</w:t>
      </w:r>
    </w:p>
    <w:p w14:paraId="04D1A852">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第十九章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统筹发展和安全，建设平安肇庆</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75</w:t>
      </w:r>
    </w:p>
    <w:p w14:paraId="4A1123B7">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深入推进国家安全体系和能力建设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75</w:t>
      </w:r>
    </w:p>
    <w:p w14:paraId="259EF59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第二节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大力提升资源安全保障能力</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75</w:t>
      </w:r>
    </w:p>
    <w:p w14:paraId="1FB67FB6">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第三节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稳妥化解重点领域突出风险</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77</w:t>
      </w:r>
    </w:p>
    <w:p w14:paraId="35639851">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加强防灾减灾救灾体系建设</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78</w:t>
      </w:r>
    </w:p>
    <w:p w14:paraId="2AC2BD4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第五节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全力提高安全保障能力</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80</w:t>
      </w:r>
    </w:p>
    <w:p w14:paraId="4CBBF452">
      <w:pPr>
        <w:widowControl w:val="0"/>
        <w:tabs>
          <w:tab w:val="right" w:leader="middleDot" w:pos="8820"/>
        </w:tabs>
        <w:kinsoku/>
        <w:overflowPunct w:val="0"/>
        <w:autoSpaceDE/>
        <w:autoSpaceDN/>
        <w:adjustRightInd/>
        <w:snapToGrid/>
        <w:spacing w:line="590" w:lineRule="exact"/>
        <w:ind w:left="320" w:hanging="320" w:hangingChars="100"/>
        <w:jc w:val="both"/>
        <w:rPr>
          <w:rFonts w:ascii="方正小标宋_GBK" w:hAnsi="方正小标宋_GBK" w:eastAsia="方正小标宋_GBK" w:cs="方正小标宋_GBK"/>
          <w:color w:val="000000" w:themeColor="text1"/>
          <w:sz w:val="32"/>
          <w:szCs w:val="32"/>
          <w:lang w:eastAsia="zh-CN"/>
          <w14:textFill>
            <w14:solidFill>
              <w14:schemeClr w14:val="tx1"/>
            </w14:solidFill>
          </w14:textFill>
        </w:rPr>
      </w:pPr>
      <w:r>
        <w:rPr>
          <w:rFonts w:hint="eastAsia" w:ascii="方正小标宋_GBK" w:hAnsi="方正小标宋_GBK" w:eastAsia="方正小标宋_GBK" w:cs="方正小标宋_GBK"/>
          <w:color w:val="000000" w:themeColor="text1"/>
          <w:sz w:val="32"/>
          <w:szCs w:val="32"/>
          <w14:textFill>
            <w14:solidFill>
              <w14:schemeClr w14:val="tx1"/>
            </w14:solidFill>
          </w14:textFill>
        </w:rPr>
        <w:t xml:space="preserve">第二十章 </w:t>
      </w:r>
      <w:r>
        <w:rPr>
          <w:rFonts w:hint="eastAsia" w:ascii="方正小标宋_GBK" w:hAnsi="方正小标宋_GBK" w:eastAsia="方正小标宋_GBK" w:cs="方正小标宋_GBK"/>
          <w:color w:val="000000" w:themeColor="text1"/>
          <w:sz w:val="32"/>
          <w:szCs w:val="32"/>
          <w:lang w:eastAsia="zh-CN"/>
          <w14:textFill>
            <w14:solidFill>
              <w14:schemeClr w14:val="tx1"/>
            </w14:solidFill>
          </w14:textFill>
        </w:rPr>
        <w:t xml:space="preserve"> </w:t>
      </w:r>
      <w:r>
        <w:rPr>
          <w:rFonts w:hint="eastAsia" w:ascii="方正小标宋_GBK" w:hAnsi="方正小标宋_GBK" w:eastAsia="方正小标宋_GBK" w:cs="方正小标宋_GBK"/>
          <w:color w:val="000000" w:themeColor="text1"/>
          <w:sz w:val="32"/>
          <w:szCs w:val="32"/>
          <w14:textFill>
            <w14:solidFill>
              <w14:schemeClr w14:val="tx1"/>
            </w14:solidFill>
          </w14:textFill>
        </w:rPr>
        <w:t>坚持党的全面领导，完善规划实施保障机制</w:t>
      </w:r>
      <w:r>
        <w:rPr>
          <w:rFonts w:hint="eastAsia" w:ascii="方正小标宋_GBK" w:hAnsi="方正小标宋_GBK" w:eastAsia="方正小标宋_GBK" w:cs="方正小标宋_GBK"/>
          <w:color w:val="000000" w:themeColor="text1"/>
          <w:sz w:val="32"/>
          <w:szCs w:val="32"/>
          <w14:textFill>
            <w14:solidFill>
              <w14:schemeClr w14:val="tx1"/>
            </w14:solidFill>
          </w14:textFill>
        </w:rPr>
        <w:tab/>
      </w:r>
      <w:r>
        <w:rPr>
          <w:rFonts w:ascii="Times New Roman" w:hAnsi="Times New Roman" w:eastAsia="方正小标宋_GBK" w:cs="Times New Roman"/>
          <w:color w:val="000000" w:themeColor="text1"/>
          <w:sz w:val="32"/>
          <w:szCs w:val="32"/>
          <w14:textFill>
            <w14:solidFill>
              <w14:schemeClr w14:val="tx1"/>
            </w14:solidFill>
          </w14:textFill>
        </w:rPr>
        <w:t>1</w:t>
      </w:r>
      <w:r>
        <w:rPr>
          <w:rFonts w:ascii="Times New Roman" w:hAnsi="Times New Roman" w:eastAsia="方正小标宋_GBK" w:cs="Times New Roman"/>
          <w:color w:val="000000" w:themeColor="text1"/>
          <w:sz w:val="32"/>
          <w:szCs w:val="32"/>
          <w:lang w:eastAsia="zh-CN"/>
          <w14:textFill>
            <w14:solidFill>
              <w14:schemeClr w14:val="tx1"/>
            </w14:solidFill>
          </w14:textFill>
        </w:rPr>
        <w:t>83</w:t>
      </w:r>
    </w:p>
    <w:p w14:paraId="789791CC">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第一节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坚持和加强党的全面领导</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83</w:t>
      </w:r>
    </w:p>
    <w:p w14:paraId="70E77C6B">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加强规划衔接协调</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84</w:t>
      </w:r>
    </w:p>
    <w:p w14:paraId="3B4EFC0F">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第三节</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 xml:space="preserve"> 健全规划实施机制</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85</w:t>
      </w:r>
    </w:p>
    <w:p w14:paraId="504261EE">
      <w:pPr>
        <w:widowControl w:val="0"/>
        <w:tabs>
          <w:tab w:val="right" w:leader="middleDot" w:pos="8820"/>
        </w:tabs>
        <w:kinsoku/>
        <w:overflowPunct w:val="0"/>
        <w:autoSpaceDE/>
        <w:autoSpaceDN/>
        <w:adjustRightInd/>
        <w:snapToGrid/>
        <w:spacing w:line="590" w:lineRule="exact"/>
        <w:ind w:firstLine="320" w:firstLineChars="100"/>
        <w:jc w:val="both"/>
        <w:rPr>
          <w:rFonts w:ascii="Times New Roman" w:hAnsi="Times New Roman" w:eastAsia="方正楷体_GBK" w:cs="方正楷体_GBK"/>
          <w:color w:val="000000" w:themeColor="text1"/>
          <w:sz w:val="32"/>
          <w:szCs w:val="32"/>
          <w:lang w:eastAsia="zh-CN"/>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 xml:space="preserve">第四节 </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 xml:space="preserve"> </w:t>
      </w:r>
      <w:r>
        <w:rPr>
          <w:rFonts w:hint="eastAsia" w:ascii="Times New Roman" w:hAnsi="Times New Roman" w:eastAsia="方正楷体_GBK" w:cs="方正楷体_GBK"/>
          <w:color w:val="000000" w:themeColor="text1"/>
          <w:sz w:val="32"/>
          <w:szCs w:val="32"/>
          <w14:textFill>
            <w14:solidFill>
              <w14:schemeClr w14:val="tx1"/>
            </w14:solidFill>
          </w14:textFill>
        </w:rPr>
        <w:t>加强项目支撑和落实</w:t>
      </w:r>
      <w:r>
        <w:rPr>
          <w:rFonts w:hint="eastAsia" w:ascii="Times New Roman" w:hAnsi="Times New Roman" w:eastAsia="方正楷体_GBK" w:cs="方正楷体_GBK"/>
          <w:color w:val="000000" w:themeColor="text1"/>
          <w:sz w:val="32"/>
          <w:szCs w:val="32"/>
          <w14:textFill>
            <w14:solidFill>
              <w14:schemeClr w14:val="tx1"/>
            </w14:solidFill>
          </w14:textFill>
        </w:rPr>
        <w:tab/>
      </w:r>
      <w:r>
        <w:rPr>
          <w:rFonts w:hint="eastAsia" w:ascii="Times New Roman" w:hAnsi="Times New Roman" w:eastAsia="方正楷体_GBK" w:cs="方正楷体_GBK"/>
          <w:color w:val="000000" w:themeColor="text1"/>
          <w:sz w:val="32"/>
          <w:szCs w:val="32"/>
          <w14:textFill>
            <w14:solidFill>
              <w14:schemeClr w14:val="tx1"/>
            </w14:solidFill>
          </w14:textFill>
        </w:rPr>
        <w:t>1</w:t>
      </w:r>
      <w:r>
        <w:rPr>
          <w:rFonts w:hint="eastAsia" w:ascii="Times New Roman" w:hAnsi="Times New Roman" w:eastAsia="方正楷体_GBK" w:cs="方正楷体_GBK"/>
          <w:color w:val="000000" w:themeColor="text1"/>
          <w:sz w:val="32"/>
          <w:szCs w:val="32"/>
          <w:lang w:eastAsia="zh-CN"/>
          <w14:textFill>
            <w14:solidFill>
              <w14:schemeClr w14:val="tx1"/>
            </w14:solidFill>
          </w14:textFill>
        </w:rPr>
        <w:t>85</w:t>
      </w:r>
    </w:p>
    <w:p w14:paraId="1669D584">
      <w:pPr>
        <w:pStyle w:val="2"/>
        <w:rPr>
          <w:rFonts w:hint="default" w:ascii="Times New Roman" w:hAnsi="Times New Roman"/>
          <w:b w:val="0"/>
          <w:color w:val="000000" w:themeColor="text1"/>
          <w:sz w:val="32"/>
          <w:szCs w:val="32"/>
          <w14:textFill>
            <w14:solidFill>
              <w14:schemeClr w14:val="tx1"/>
            </w14:solidFill>
          </w14:textFill>
        </w:rPr>
      </w:pPr>
    </w:p>
    <w:p w14:paraId="6559E06E">
      <w:pPr>
        <w:rPr>
          <w:lang w:eastAsia="zh-CN"/>
        </w:rPr>
      </w:pPr>
    </w:p>
    <w:p w14:paraId="41AC2FE6">
      <w:pPr>
        <w:pStyle w:val="2"/>
        <w:rPr>
          <w:rFonts w:hint="default" w:cs="宋体"/>
          <w:b w:val="0"/>
          <w:color w:val="000000" w:themeColor="text1"/>
          <w14:textFill>
            <w14:solidFill>
              <w14:schemeClr w14:val="tx1"/>
            </w14:solidFill>
          </w14:textFill>
        </w:rPr>
        <w:sectPr>
          <w:footerReference r:id="rId4" w:type="default"/>
          <w:pgSz w:w="11906" w:h="16838"/>
          <w:pgMar w:top="1871" w:right="1531" w:bottom="1871" w:left="1531" w:header="851" w:footer="1587" w:gutter="0"/>
          <w:pgNumType w:start="1"/>
          <w:cols w:space="0" w:num="1"/>
          <w:docGrid w:type="lines" w:linePitch="312" w:charSpace="0"/>
        </w:sectPr>
      </w:pPr>
    </w:p>
    <w:p w14:paraId="05F4B30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肇庆市国民经济和社会发展第十五个五年（2026—2030年）规划纲要，深入贯彻落实党的二十届四中全会精神，严格落实中央、省委及市委</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规划《建议》部署要求，以及《广东省国民经济和社会发展第十五个五年规划纲要》等重要政策文件精神</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重点明确“十五五”时期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经济社会发展的指导思想、基本原则、发展目标和要求，谋划重大战略、部署重大任务，作为战略性、宏观性、政策性规划，是政府履行经济调节、市场监管</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、社会管理、公共服务和生态环境保护职能的重要依据，是未来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五年我市经济社会发展的宏伟蓝图和全市人民共同的行动纲领。</w:t>
      </w:r>
    </w:p>
    <w:p w14:paraId="2218338F">
      <w:pPr>
        <w:widowControl w:val="0"/>
        <w:kinsoku/>
        <w:overflowPunct w:val="0"/>
        <w:autoSpaceDE/>
        <w:autoSpaceDN/>
        <w:adjustRightInd/>
        <w:snapToGrid/>
        <w:spacing w:line="590" w:lineRule="exact"/>
        <w:ind w:firstLine="640" w:firstLineChars="200"/>
        <w:jc w:val="both"/>
        <w:rPr>
          <w:rFonts w:ascii="Times New Roman" w:hAnsi="Times New Roman"/>
          <w:snapToGrid/>
          <w:color w:val="000000" w:themeColor="text1"/>
          <w:kern w:val="21"/>
          <w:sz w:val="32"/>
          <w:szCs w:val="32"/>
          <w:lang w:eastAsia="zh-CN"/>
          <w14:textFill>
            <w14:solidFill>
              <w14:schemeClr w14:val="tx1"/>
            </w14:solidFill>
          </w14:textFill>
        </w:rPr>
      </w:pPr>
      <w:bookmarkStart w:id="12" w:name="_Toc26383"/>
    </w:p>
    <w:p w14:paraId="4B06C0F4">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13" w:name="_Toc516713906"/>
      <w:bookmarkStart w:id="14" w:name="_Toc5511"/>
      <w:bookmarkStart w:id="15" w:name="_Toc14935"/>
      <w:bookmarkStart w:id="16" w:name="_Toc1239314478"/>
      <w:bookmarkStart w:id="17" w:name="_Toc1834211125"/>
      <w:bookmarkStart w:id="18" w:name="_Toc30531"/>
      <w:bookmarkStart w:id="19" w:name="_Toc1267372456"/>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第一章  凝心聚力、攻坚克难，全面建设社会主义</w:t>
      </w:r>
      <w:bookmarkEnd w:id="12"/>
      <w:bookmarkEnd w:id="13"/>
      <w:bookmarkEnd w:id="14"/>
      <w:bookmarkEnd w:id="15"/>
      <w:bookmarkEnd w:id="16"/>
      <w:bookmarkEnd w:id="17"/>
      <w:bookmarkEnd w:id="18"/>
      <w:bookmarkEnd w:id="19"/>
    </w:p>
    <w:p w14:paraId="0199E006">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20" w:name="_Toc1033"/>
      <w:bookmarkStart w:id="21" w:name="_Toc2056695777"/>
      <w:bookmarkStart w:id="22" w:name="_Toc7315"/>
      <w:bookmarkStart w:id="23" w:name="_Toc1256551797"/>
      <w:bookmarkStart w:id="24" w:name="_Toc381970614"/>
      <w:bookmarkStart w:id="25" w:name="_Toc24516"/>
      <w:bookmarkStart w:id="26" w:name="_Toc1107798009"/>
      <w:bookmarkStart w:id="27" w:name="_Toc8714"/>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现代化新征程稳步向前</w:t>
      </w:r>
      <w:bookmarkEnd w:id="20"/>
      <w:bookmarkEnd w:id="21"/>
      <w:bookmarkEnd w:id="22"/>
      <w:bookmarkEnd w:id="23"/>
      <w:bookmarkEnd w:id="24"/>
      <w:bookmarkEnd w:id="25"/>
      <w:bookmarkEnd w:id="26"/>
      <w:bookmarkEnd w:id="27"/>
    </w:p>
    <w:p w14:paraId="53E3EE0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p>
    <w:p w14:paraId="7408AB9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“十四五”时期</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全市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发展历程极不寻常、极不平凡。在以习近平同志为核心的党中央坚强领导及省委</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省政府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正确领导下，市委、市政府团结带领全市广大</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党员</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干部群众，有效应对新冠病毒感染疫情等重大风险挑战，推动经济社会发展取得新成就。</w:t>
      </w:r>
    </w:p>
    <w:p w14:paraId="41D29AC8">
      <w:pPr>
        <w:widowControl w:val="0"/>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8" w:name="_Toc1478378150"/>
      <w:bookmarkStart w:id="29" w:name="_Toc24639"/>
      <w:bookmarkStart w:id="30" w:name="_Toc19332"/>
      <w:bookmarkStart w:id="31" w:name="_Toc926191908"/>
      <w:bookmarkStart w:id="32" w:name="_Toc331529097"/>
      <w:bookmarkStart w:id="33" w:name="_Toc17025"/>
      <w:bookmarkStart w:id="34" w:name="_Toc24918"/>
      <w:bookmarkStart w:id="35" w:name="_Toc9061"/>
      <w:bookmarkStart w:id="36" w:name="_Toc24160"/>
      <w:bookmarkStart w:id="37" w:name="_Toc1043404777"/>
      <w:bookmarkStart w:id="38" w:name="_Toc1642744448"/>
      <w:bookmarkStart w:id="39" w:name="_Toc414607039"/>
      <w:bookmarkStart w:id="40" w:name="_Toc1930046994"/>
      <w:bookmarkStart w:id="41" w:name="_Toc22675"/>
      <w:bookmarkStart w:id="42" w:name="_Toc22288"/>
      <w:bookmarkStart w:id="43" w:name="_Toc1658199841"/>
      <w:bookmarkStart w:id="44" w:name="_Toc20874"/>
      <w:bookmarkStart w:id="45" w:name="_Toc400252786"/>
      <w:bookmarkStart w:id="46" w:name="_Toc44080137"/>
      <w:bookmarkStart w:id="47" w:name="_Toc230672723"/>
      <w:bookmarkStart w:id="48" w:name="_Toc1407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“十四五”时期发展成效</w:t>
      </w:r>
      <w:bookmarkEnd w:id="28"/>
      <w:bookmarkEnd w:id="29"/>
      <w:bookmarkEnd w:id="30"/>
      <w:bookmarkEnd w:id="31"/>
      <w:bookmarkEnd w:id="32"/>
      <w:bookmarkEnd w:id="33"/>
      <w:bookmarkEnd w:id="34"/>
      <w:bookmarkEnd w:id="35"/>
      <w:bookmarkEnd w:id="36"/>
      <w:bookmarkEnd w:id="37"/>
      <w:bookmarkEnd w:id="38"/>
      <w:bookmarkEnd w:id="39"/>
      <w:bookmarkEnd w:id="4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和存在问题</w:t>
      </w:r>
      <w:bookmarkEnd w:id="41"/>
      <w:bookmarkEnd w:id="42"/>
      <w:bookmarkEnd w:id="43"/>
      <w:bookmarkEnd w:id="44"/>
      <w:bookmarkEnd w:id="45"/>
      <w:bookmarkEnd w:id="46"/>
      <w:bookmarkEnd w:id="47"/>
      <w:bookmarkEnd w:id="48"/>
    </w:p>
    <w:p w14:paraId="08B319E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发展成效。</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经济实力稳步增强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。“十四五”期末，全市地区生产总值</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完成2974.84</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亿元。地方一般公共预算收入超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240</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亿元。工业投资和基础设施投资占固定资产投资比重分别提高到50.9%左右和32.3%。市场消费持续畅旺，社会消费品零售总额年均增长3.2%。“融湾入圈”持续深入。以东部城区一体化融合发展为抓手深度参与大湾区建设，出台东部城区一体化融合发展实施意见，谋划启动一批重大项目，逐步拉开未来大城建设格局。西部板块连城接乡作用逐步显现，县域综合承载能力持续增强，“一县一园一主业”逐步成型。“硬联通”、“软联通”、“心联通”不断深化，深南高铁、珠肇高铁、广昆高速改扩建等工程建设顺利推进，广肇城际公交化贯通运营，</w:t>
      </w:r>
      <w:r>
        <w:rPr>
          <w:rFonts w:hint="eastAsia" w:ascii="Times New Roman" w:hAnsi="Times New Roman" w:eastAsia="方正仿宋简体" w:cs="方正仿宋简体"/>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肇庆港总体规划</w:t>
      </w:r>
      <w:r>
        <w:rPr>
          <w:rFonts w:hint="eastAsia" w:ascii="Times New Roman" w:hAnsi="Times New Roman" w:eastAsia="方正仿宋简体" w:cs="方正仿宋简体"/>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获交通运输部、省政府批复，肇庆港码头建设全面铺开。全力配合推进广州新机场规划建设。设立“跨境通办”窗口，实现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跨境通办</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事项42项、“跨省通办”事项818项、省内跨城通办事项1650项。产业发展动能不断释放。产业结构持续优化，三次产业结构比例优化为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18.0</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36.2</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45.8</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发展稳健向前，全市形成2个千亿级和4个五百亿级产业集群；新兴产业逐步挑起大梁，“两新一电”产业占规上工业总产值比重达28.2%。现代服务业产业体系更趋完善，第三产业增加值年均增长4.6%。产业载体能级不断提升，构建起3大功能区、13个省级以上开发区联动发展格局，</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大型产业集聚区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成为全市未来发展和产业振兴的重要平台并获评广东省制造强省建设先进集体；肇庆高新区获评国家火炬新能源汽车特色产业基地、省新型储能特色产业园。招商引资量质齐升，制造业招商引资连续三年超千亿元，获评全省优秀招商地市。科技自主创新能力持续增强。全社会研发经费投入强度稳步提升，高鼎端科教创新走廊总体设计和集聚建设同步推进，肇庆高新区在国家高新区综合评价排名中连续四年实现进位、跃升至第86位。深入实施“肇星计划”，新增上市公司及挂牌企业8家。“百千万工程”初见成效。区域协调持续推进，基本实现“三年初见成效”阶段性目标。四会市、德庆县分别成为以县城为重要载体的新型城镇化建设省级试点，4个山区县均培育出超50亿元首位产业。镇村焕发新动能，统筹开展“3399”交通主干道沿线风貌提升，“悦禄小双”西江美丽乡村示范带建设有序推进。农业现代化迈出坚实步伐，全市农林牧渔业总产值稳居全省前列。改革开放加快推进。经济体制加快完善，实现全域国有企业和县域产投类国有企业AA及以上评级“2个全覆盖”。获评广东省城市全域数字化转型试点，广州数据交易所（肇庆）服务基地揭牌运营。行政效能稳步提升，数字政府改革建设稳居全省第一梯队。营商环境持续优化，营商环境评价及城市信用建设居全省前列，经营主体突破40万户。对外开放力度加大，成功入选中国外贸百强城市。持续完善外资服务体系，实际使用外资年均增长9%。跨境电商集聚成势，实现肇货“买全球、卖全球”。“</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绿美肇庆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”生态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建设取得实效。生态环境质量稳居全国重点城市前列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，贺江成功入选省级美丽河湖优秀案例。大力弘扬“岳山造林”光荣传统，成功打造省市县三级共建绿美点——岳山绿美点。绿色转型迈出新步伐，</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各类电源并网总装机容量翻一番以上，肇庆高新区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被认定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为国家首批碳达峰试点园区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无废城市”建设稳步推进。人民生活水平不断提高。教育供给持续优化，基础教育扩容提质“两个工程”顺利收官，肇庆学院“改大申博”工作全面启动，肇庆医学院正式挂牌。医疗服务体系逐步完善，中山三院肇庆医院入选国家区域医疗中心，县域医共体建设在全省绩效评价中排名第一。文旅体事业取得新进步，文化设施布局持续优化，成功举办环星湖蓝带啤酒嘉年华、肇庆广府文化庙会等活动。社会保障扎实有效，“十四五”期间，深入实施“百万英才汇南粤”行动计划，提供岗位2.6万个，吸纳全国超万名高校毕业生，城镇新增就业21.8万人，全市居民人均可支配收入年均增长5.35%。不断扩大保障性住房覆盖范围，助力人才安居和产业发展。风险防线不断筑牢。全力筑牢疫情防控安全屏障，有效应对新冠病毒感染疫情、基孔肯雅热局部疫情等风险挑战。成功应对2022年历史罕见“龙舟水”、2025年绥江超百年一遇特大洪水、</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中心城区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8·4”极端暴雨等重大自然灾害，全力做好应急抢险救灾和灾后恢复重建工作，有力保障了人民群众生命财产安全和社会平安稳定。稳妥化解隐性债务风险，存量隐性债务清零。切实化解楼盘逾期交付风险，全面完成国家部署的保交楼、保交房任务。安全生产形势稳定向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市生产安全事故起数、死亡人数等核心指标持续下降，连续两年获评全省安全生产责任制和消防工作考核“优秀”等次。社会安全保障有力。平安肇庆建设深入推进，刑事治安警情、刑事案件逐年下降，成为省首批侦查中心示范点，成功创建全国法治政府建设示范市。成为全省首个全国“平安农机”示范市。创建全国市域社会治理现代化试点合格城市。再次被命名为全国双拥模范城，实现“两连冠”。</w:t>
      </w:r>
    </w:p>
    <w:p w14:paraId="21837B2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十四五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期间，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市经济社会发展有不少亮点，但也存在不可忽视的问题：地区生产总值、规模以上工业增加值等指标增速低于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十四五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预期目标；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应对</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新一轮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科技</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革命和产业变革准备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不足</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，产业转型升级不如预期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，工业、投资等领域大起大落，产业招商落地还不够实</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；经济总量和质量与珠三角城市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平均水平</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还有较大差距，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房地产转型不到位，</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市民群众就业机会还不充分、整体收入还不够高，</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环保、农业农村等方面短板很多，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民生保障能力有待加强，仍然是珠三角唯一人口净流出城市等。以上问题，在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期间要高度重视，必须在发展中解决，也一定能在发展中解决。</w:t>
      </w:r>
    </w:p>
    <w:p w14:paraId="36E3B73F">
      <w:pPr>
        <w:widowControl w:val="0"/>
        <w:kinsoku/>
        <w:overflowPunct w:val="0"/>
        <w:autoSpaceDE/>
        <w:autoSpaceDN/>
        <w:adjustRightInd/>
        <w:snapToGrid/>
        <w:spacing w:before="249" w:beforeLines="80" w:after="249" w:afterLines="8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9" w:name="_Toc185833780"/>
      <w:bookmarkStart w:id="50" w:name="_Toc1578828074"/>
      <w:bookmarkStart w:id="51" w:name="_Toc1477606694"/>
      <w:bookmarkStart w:id="52" w:name="_Toc1039669613"/>
      <w:bookmarkStart w:id="53" w:name="_Toc4151"/>
      <w:bookmarkStart w:id="54" w:name="_Toc31361"/>
      <w:bookmarkStart w:id="55" w:name="_Toc24534"/>
      <w:bookmarkStart w:id="56" w:name="_Toc2995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“十五五”时期发展环境</w:t>
      </w:r>
      <w:bookmarkEnd w:id="49"/>
      <w:bookmarkEnd w:id="50"/>
      <w:bookmarkEnd w:id="51"/>
      <w:bookmarkEnd w:id="52"/>
      <w:bookmarkEnd w:id="53"/>
      <w:bookmarkEnd w:id="54"/>
      <w:bookmarkEnd w:id="55"/>
      <w:bookmarkEnd w:id="56"/>
    </w:p>
    <w:p w14:paraId="6A2051D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五五</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时期，是基本实现社会主义现代化夯实基础、全面发力的关键时期，也是</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增创新优势、实现新突破的紧要时期，具有承前启后的重要地位，将对</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未来发展带来决定性影响。</w:t>
      </w:r>
    </w:p>
    <w:p w14:paraId="547D689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国内外发展环境面临深刻复杂变化。从国际环境看，全球发展环境不确定性仍在持续扩大，世界经济增长动能依然呈现减弱态势。一是全球政治格局不稳定因素显著增多。地缘政治冲突此起彼伏，大国竞争与大国博弈进一步加剧，经济、科技、文化等领域话语权争夺成为长期态势。二是全球经济发展结构性矛盾持续凸显。经济全球化的浪潮长期遭遇逆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部分国家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单边关税政策与贸易保护措施扰乱全球经贸秩序，进一步削弱世界经济增长的核心动能。从国内发展态势看，我国经济基础稳、优势多、韧性强、潜力大，长期向好的支撑条件和基本趋势没有变，中国特色社会主义制度优势、超大规模市场优势、完整产业体系优势、丰富人才资源优势更加彰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时期我国加快培育新质生产力、推动经济结构优化升级，全面深化改革开放、创新驱动发展等战略持续推进，为各地破解发展瓶颈、培育增长动能提供根本遵循。我国经济增长短期压力与长期变革交织叠加，加快培育新的经济增长点和增长动能成为破局关键。短期来看，经济运行面临着有效需求不振、投资效益不足和出口增速乏力的发展困局，传统增长引擎对经济的拉动作用日益减弱。长期来看，我国经济总供给和总需求的关系将出现新变化，经济运行呈现出波浪式发展、曲折式前进的新形态。</w:t>
      </w:r>
    </w:p>
    <w:p w14:paraId="02C79AB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时期我市面临的主要挑战</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从全省发展格局看，我省作为全国经济第一大省，发展中存在的供需匹配不足、新旧动能转换艰巨、城乡区域发展不平衡及民生生态安全短板等深层次问题，伴随着省域内区域竞争加剧，进一步向我市传导压力。一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夹心效应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作为粤港澳大湾区城市，一方面，顶着粤港澳大湾区的光环，对标对表粤港澳大湾区标准和要求，而与粤港澳大湾区兄弟城市的实力相比存在较大差距，在粤港澳大湾区城市竞争中处于劣势；另一方面，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半珠半山，与粤东西北很多城市处于同一发展水平，但没有享受到粤东西北政策扶持，同时西江水质保护责任重大且生态保护红线多，导致我市在政策支持、财政资源分配等方面处于劣势，形成了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夹心效应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。二是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虹吸效应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。粤港澳大湾区核心城市凭借其强大的科创资源、产业链高端优势，加速抢占新能源、集成电路、生物医药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、科技服务业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等新兴赛道，对高端产业项目、顶尖技术团队、跨境金融资源等优质要素的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虹吸效应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显著，导致高层次人才持续外流，研发平台能级低，留住研发创新团队的难度变大。三是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过道效应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拥有便捷的交通网络，物流、人流、资金流并未有效沉淀，在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承上启下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中面临产业能级不高、枢纽功能不强的局面，成为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通道型城市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的风险进一步加剧。从我市发展实际看，自身还面临突出短板。一是要素资源未形成合力。在粤港澳大湾区协同发展中，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我市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在集成电路、生物医药等新兴赛道缺乏具有引领性和带动性的高端产业项目，难以留住高端技术人才和创新团队，制约了产业发展和创新能力提升，劳动力外流趋势尚未根本扭转。企业融资渠道有限，市场化资本较少介入，难以形成有效的金融支持体系。二是产业基础尚未牢固。第二产业占比提升较慢，第一产业维持较高占比，新兴产业尚未形成规模，产业结构调整步伐不明显。建材、食品加工等市场空间不断收窄，面临着成本上升、市场需求变化等挑战，传统产业竞争力下降。新兴产业与传统产业的融合对接不够紧密，未能形成协同发展的良好局面，电子信息产业未能充分赋能其他新兴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科技型企业在技术创新、成果转化等方面的作用尚未充分发挥，缺乏具有核心竞争力的创新产品和技术。三是区域协调发展面临挑战。东部板块有一定的产业基础，但对周边地区的辐射带动能力有限，未能形成有效的区域协同发展格局。西部板块内生增长动力不足，基础设施建设滞后，产业发展面临诸多困难。东部与西部板块在经济总量、产业结构、公共服务等方面的差距，制约了全市的整体发展。四是新动力不足。缺乏国家级重点实验室、工程技术研究中心等高端创新平台，科技创新能力不足，创新平台建设滞后。在政策支持、市场环境等方面存在不足，难以吸引和留住高端产业项目。五是社会发展可持续面临压力。基础设施建设、公共服务供给等方面的支出需求大，财政可持续保障压力较大。教育、医疗、文化等优质民生公共服务供给不足，难以满足居民对高品质生活的需求。在生态环境保护、安全生产、社会治安等领域仍存在不少风险隐患，其中部分隐患还具有隐蔽性、关联性特征，治理难度较大。六是对科技革命和产业变革冲击影响认知不到位。人工智能、机器人、量子科技等新一轮科技革命和产业变革，正以前所未有的速度和深度改变着世界格局。部分领导干部未意识到传统行业被新技术取代的趋势，缺乏对新兴技术的适应能力，未能提前制定应对策略，无法有效应对变革中的挑战。</w:t>
      </w:r>
    </w:p>
    <w:p w14:paraId="186CEB0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时期</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我市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具备的优势和机遇。尽管面临诸多变化与挑战，在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时期，我市经济社会发展仍然具备一定的优势，能够享受更多国家和省级层面的政策支持。从省内层面看，粤港澳大湾区建设进入纵深推进阶段，省委赋予我市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两个定位</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，为争取政策支持、拓宽发展空间提供了战略契机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百千万工程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入实施，为我市统筹城乡发展、补齐县域短板提供重要抓手。在此背景下，粤港澳大湾区核心城市功能要素外溢加速，我市凭借营商环境优化、土地资源要素富集、劳动力成本优势突出等条件，对寻求拓展发展空间的企业吸引力显著增强，有望构建区域产业分工协作新格局。从我市基本面来看，自身仍具备一定发展优势。一是区位交通优势。我市初步构建起高铁城际、西江航道、高速公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物流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枢纽等综合交通网络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在深度融入粤港澳大湾区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1小时生活圈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的同时，与大西南地区的联通持续强化，正加快打造粤港澳大湾区面向大西南门户枢纽。二是现有产业基础优势。主导产业加速壮大，新能源汽车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及零部件制造</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、新型储能、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新材料等主导产业领域快速发展，产业链上下游配套正加快整合。传统产业升级有序推进，建材产业、食品加工产业等通过技术改造和创新升级进一步提升市场竞争力。产业园区建设成效显著，大型产业集聚区、肇庆高新区、肇庆新区等产业园区基础设施不断完善，产业配套能力逐步提升，为承接产业转移和项目落地提供了良好的平台载体。三是改革创新优势。深入开展粤港澳大湾区内地九市要素市场化配置综合改革，以更大力度参与推进全国统一大市场建设。出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西江人才计划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等人才引育留用政策，吸引高层次人才和创新团队留肇，为产业创新发展提供智力支持。四是营商环境优势。大力推进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放管服</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改革，简化行政审批流程，提高政务服务效率，深化实施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一网通办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一站式服务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等措施，为企业提供高效便捷的服务，信用体系建设和营商环境评价处于全省前列。五是生态文化优势。我市生态优势显著，森林覆盖率长期位居全省前列，拥有</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丰富的自然资源和良好的生态环境；广府文化底蕴深厚，拥有丰富的历史文化遗产和民俗文化资源，生态文旅融合发展潜力巨大。</w:t>
      </w:r>
    </w:p>
    <w:p w14:paraId="37C87501">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综合研判，尽管发展外部环境和自身条件发生了一系列变化，但我市长期向好的支撑条件和基本趋势没有变，应对重大风险和挑战的能力不断增强。我市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必须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牢牢把握广东“走在前、作示范、挑大梁”的使命任务，以历史主动精神担当作为，集中力量办好肇庆的事，以市域之进服务全省之进，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在新一轮发展周期中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奋力开创肇庆现代化建设新局面，为广东在推进中国式现代化建设中走在前列作出更大的担当和贡献。</w:t>
      </w:r>
    </w:p>
    <w:p w14:paraId="760A7356">
      <w:pPr>
        <w:widowControl w:val="0"/>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7" w:name="_Toc488261563"/>
      <w:bookmarkStart w:id="58" w:name="_Toc858264554"/>
      <w:bookmarkStart w:id="59" w:name="_Toc326504669"/>
      <w:bookmarkStart w:id="60" w:name="_Toc296709734"/>
      <w:bookmarkStart w:id="61" w:name="_Toc369155994"/>
      <w:bookmarkStart w:id="62" w:name="_Toc558693051"/>
      <w:bookmarkStart w:id="63" w:name="_Toc26388"/>
      <w:bookmarkStart w:id="64" w:name="_Toc13235"/>
      <w:bookmarkStart w:id="65" w:name="_Toc3795"/>
      <w:bookmarkStart w:id="66" w:name="_Toc962807851"/>
      <w:bookmarkStart w:id="67" w:name="_Toc5523"/>
      <w:bookmarkStart w:id="68" w:name="_Toc15662"/>
      <w:bookmarkStart w:id="69" w:name="_Toc30573"/>
      <w:bookmarkStart w:id="70" w:name="_Toc233489042"/>
      <w:bookmarkStart w:id="71" w:name="_Toc445545077"/>
      <w:bookmarkStart w:id="72" w:name="_Toc1187"/>
      <w:bookmarkStart w:id="73" w:name="_Toc24872"/>
      <w:bookmarkStart w:id="74" w:name="_Toc1645427786"/>
      <w:bookmarkStart w:id="75" w:name="_Toc2020524131"/>
      <w:bookmarkStart w:id="76" w:name="_Toc462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指导</w:t>
      </w:r>
      <w:bookmarkEnd w:id="57"/>
      <w:bookmarkEnd w:id="58"/>
      <w:bookmarkEnd w:id="59"/>
      <w:bookmarkEnd w:id="60"/>
      <w:bookmarkEnd w:id="61"/>
      <w:bookmarkEnd w:id="62"/>
      <w:bookmarkEnd w:id="63"/>
      <w:bookmarkEnd w:id="64"/>
      <w:bookmarkEnd w:id="65"/>
      <w:bookmarkEnd w:id="66"/>
      <w:bookmarkEnd w:id="67"/>
      <w:bookmarkEnd w:id="6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方针</w:t>
      </w:r>
      <w:bookmarkEnd w:id="69"/>
      <w:bookmarkEnd w:id="70"/>
      <w:bookmarkEnd w:id="71"/>
      <w:bookmarkEnd w:id="72"/>
      <w:bookmarkEnd w:id="73"/>
      <w:bookmarkEnd w:id="74"/>
      <w:bookmarkEnd w:id="75"/>
      <w:bookmarkEnd w:id="76"/>
    </w:p>
    <w:p w14:paraId="35657F3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指导思想</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。坚持马克思列宁主义、毛泽东思想、邓小平理论、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三个代表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重要思想、科学发展观，全面贯彻习近平新时代中国特色社会主义思想，深入贯彻党的二十大和二十届历次全会精神，深入贯彻习近平总书记对广东系列重要讲话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要指示精神，围绕全面建成社会主义现代化强国、实现第二个百年奋斗目标，以中国式现代化全面推进中华民族伟大复兴，锚定广东在推进中国式现代化建设中走在前列的总目标和坚定不移挑好大梁、全面推进强省建设的总任务，主动扛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大梁一起挑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的责任担当，统筹推进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五位一体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总体布局，协调推进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四个全面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战略布局，统筹国内国际两个大局，完整准确全面贯彻新发展理念，积极服务和融入新发展格局，坚持稳中求进工作总基调，坚持以经济建设为中心，以推动高质量发展为主题，以改革创新为根本动力，以满足人民日益增长的美好生活需要为根本目的，以全面从</w:t>
      </w:r>
      <w:r>
        <w:rPr>
          <w:rFonts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严治党为根本保障，深化落实省委</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1310</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具体部署，加快推进产业振兴、乡村振兴、文旅振兴、社会事业振兴，推动经济实现质的有效提升和量的合理增长，推动人的全面发展、全体人民共同富裕迈出坚实步伐，加快打造珠三角新增长极、粤港澳大湾区面向大西南门户枢纽，确保基本实现社会主义现代化取得决定性进展。</w:t>
      </w:r>
    </w:p>
    <w:p w14:paraId="5E0BD10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基本原则</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时期经济社会发展必须遵循以下原则：</w:t>
      </w:r>
    </w:p>
    <w:p w14:paraId="3EF1140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坚持党的全面领导。坚决维护党中央权威和集中统一领导，全面贯彻党的基本理论、基本路线、基本方略，把党的领导贯穿经济社会发展各方面全过程。</w:t>
      </w:r>
    </w:p>
    <w:p w14:paraId="02E415C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坚持人民至上。尊重人民主体地位，紧紧依靠人民，维护人民根本利益，促进社会公平正义，注重在发展中保障和改善民生，在满足民生需求中拓展发展空间，让现代化建设成果更多更公平惠及全体人民。</w:t>
      </w:r>
    </w:p>
    <w:p w14:paraId="0E8B259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坚持高质量发展。以新发展理念引领发展，因地制宜发展新质生产力，服务和融入新发展格局，统筹扩大内需和深化供给侧结构性改革，促进经济结构优化升级，推动经济持续健康发展和社会全面进步。</w:t>
      </w:r>
    </w:p>
    <w:p w14:paraId="5D3AF34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坚持全面深化改革。弘扬改革开放精神、特区精神，以粤港澳大湾区建设为牵引，推进深层次改革，扩大高水平开放，持续增强发展动力和社会活力。</w:t>
      </w:r>
    </w:p>
    <w:p w14:paraId="2A187A3E">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坚持有效市场和有为政府相结合。充分发挥市场在资源配置中的决定性作用，更好发挥政府作用，参与构建统一、开放、竞争、有序的市场体系，打造市场化法治化国际化一流营商环境，形成既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放得活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管得好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的经济秩序。</w:t>
      </w:r>
    </w:p>
    <w:p w14:paraId="2E78C2B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坚持统筹发展和保护。统筹推进自然生态和历史文化保护，守护城市绿色根脉和历史文脉，推动生态优势、文化优势转化为发展优势，使高质量发展和高水平保护相得益彰。</w:t>
      </w:r>
    </w:p>
    <w:p w14:paraId="02F838A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坚持统筹发展和安全。在发展中固安全，在安全中谋发展，强化底线思维，有效防范化解各类风险，以高效能治理促进高质量发展和高水平安全良性互动。</w:t>
      </w:r>
    </w:p>
    <w:p w14:paraId="0EEBFFCA">
      <w:pPr>
        <w:widowControl w:val="0"/>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7" w:name="_Toc11422"/>
      <w:bookmarkStart w:id="78" w:name="_Toc19803"/>
      <w:bookmarkStart w:id="79" w:name="_Toc10589"/>
      <w:bookmarkStart w:id="80" w:name="_Toc1740843064"/>
      <w:bookmarkStart w:id="81" w:name="_Toc302968779"/>
      <w:bookmarkStart w:id="82" w:name="_Toc1623826730"/>
      <w:bookmarkStart w:id="83" w:name="_Toc19203"/>
      <w:bookmarkStart w:id="84" w:name="_Toc110949845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战略部署</w:t>
      </w:r>
      <w:bookmarkEnd w:id="77"/>
      <w:bookmarkEnd w:id="78"/>
      <w:bookmarkEnd w:id="79"/>
      <w:bookmarkEnd w:id="80"/>
      <w:bookmarkEnd w:id="81"/>
      <w:bookmarkEnd w:id="82"/>
      <w:bookmarkEnd w:id="83"/>
      <w:bookmarkEnd w:id="84"/>
    </w:p>
    <w:p w14:paraId="5C351B4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锚定战略性定位。加快打造珠三角新增长极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，坚持从产业、县域和区位中挖潜能、找增量，推动城市发展能级和综合实力持续跃升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在高质量发展赛道上跑出加速度。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打造粤港澳大湾区面向大西南门户枢纽，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充分发挥承东启西的区位优势，坚定不移向东借力和接力，深度参与粤港澳大湾区建设；向西深化对接合作，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西江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沿线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高效联通大西南地区，努力成为西江流域重要节点城市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37D8564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建设标志性工程。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大力推动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大型产业集聚区建设现代化产业园区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、前瞻谋划建设大沙绥江片区和金渡紫云片区，探索打造肇庆科学城、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整合优化肇庆砚阳湖高新区、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依托</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广州新机场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发展临空经济、打造珠江口西岸储能电池产业集聚区、加快建设高鼎端科教创新走廊和建设大湾区（肇庆）绿色能源基地等标志性工程，促进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市高质量发展，提升区域竞争力。</w:t>
      </w:r>
    </w:p>
    <w:p w14:paraId="0D600ED5">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实施创新性工作。</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深入实施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九九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融湾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百千万工程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组团式</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推动东部城区一体化融合发展、加快推行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广深港澳研发孵化—肇庆加速落地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协同模式、推动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跨境电商+产业带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融合发展、培育</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人工智能+消费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新型消费等创新性工作，提高生产效率、优化资源配置，提升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市可持续发展潜力。</w:t>
      </w:r>
    </w:p>
    <w:p w14:paraId="7EA55D3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开展开创性改革。全面开展粤港澳大湾区内地九市要素市场化配置综合改革试点、创新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债贷联动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融资模式、推动跨境数据流动规则试点、深化全域土地综合整治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探索建立省际交界毗邻地区合作发展新机制等开创性改革，为经济社会发展创造新的动力和机遇。</w:t>
      </w:r>
    </w:p>
    <w:p w14:paraId="2B8268E0">
      <w:pPr>
        <w:widowControl w:val="0"/>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5" w:name="_Toc24174"/>
      <w:bookmarkStart w:id="86" w:name="_Toc434518260"/>
      <w:bookmarkStart w:id="87" w:name="_Toc1591587214"/>
      <w:bookmarkStart w:id="88" w:name="_Toc22848"/>
      <w:bookmarkStart w:id="89" w:name="_Toc1976527892"/>
      <w:bookmarkStart w:id="90" w:name="_Toc1304483851"/>
      <w:bookmarkStart w:id="91" w:name="_Toc20257"/>
      <w:bookmarkStart w:id="92" w:name="_Toc814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主要目标</w:t>
      </w:r>
      <w:bookmarkEnd w:id="85"/>
      <w:bookmarkEnd w:id="86"/>
      <w:bookmarkEnd w:id="87"/>
      <w:bookmarkEnd w:id="88"/>
      <w:bookmarkEnd w:id="89"/>
      <w:bookmarkEnd w:id="90"/>
      <w:bookmarkEnd w:id="91"/>
      <w:bookmarkEnd w:id="92"/>
    </w:p>
    <w:p w14:paraId="15B3378E">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锚</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定基本实现社会主义现代化目标要求，</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综合考虑国内外形势和肇庆实际，今后五年</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我市经济社会发展</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要努力实现以下目标。</w:t>
      </w:r>
    </w:p>
    <w:p w14:paraId="1C0ED4F1">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珠三角新增长极极化和辐射效应增强。持续推动经济实现质的有效提升和量的合理增长，到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期末，努力实现地区生产总值4000亿元</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左右</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，年均增速达6%左右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居民消费率显著提高，内需拉动经济增长主动力作用持续增强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产业结构更加优化，以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三新一电</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为引领的肇庆特色现代化产业体系加快建立，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规上工业增加值年均增速不低于6%，</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工业经济支撑能力进一步提升。区域创新体系更加完善，全社会研发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经费投入年均增长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3</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5</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左右</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69FD989B">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粤港澳大湾区面向大西南门户枢纽地位作用增强。向东借力和向西拓展协同推进，参与粤港澳大湾区建设取得新突破，软硬联通、产业共建、协同创新、民生合作等领域全面推进，在大湾区和大西南双向交流合作中的支撑、链接、服务功能进一步增强，门户枢纽地位更加彰显。</w:t>
      </w:r>
    </w:p>
    <w:p w14:paraId="1C40584A">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改革开放形成强大动力和制度保障。社会主义市场经济体制更加完善，高标准市场体系更加成熟，市场主体更加充满活力，产权制度改革和要素市场化配置改革有效推进，公平竞争制度更加健全，高水平对外开放体制机制更加健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五外联动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效应更加显现。</w:t>
      </w:r>
    </w:p>
    <w:p w14:paraId="55BF6BA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城乡区域发展协调性均衡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进一步提升。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百千万工程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加力提速，新型城镇化建设深入实施，人文之城、山水之城、活力之城更具魅力，东部城区核心引擎作用更加凸显，西部各县发展步伐明显加快，常住人口城镇化率提升至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60</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%，城乡区域发展更加平衡更加协调。</w:t>
      </w:r>
    </w:p>
    <w:p w14:paraId="68BE5CD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文化强市建设焕发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人文之城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新光彩。文化自信更加坚定，社会主义核心价值观广泛践行，文化事业、文化产业实现振兴发展，到2030年实现年接待游客量突破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3000</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万人次，旅游综合收入超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300</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亿元。加快打造全国知名山水旅游胜地、岭南气派历史文化名城、粤港澳大湾区休闲度假大花园，成为大湾区世界级旅游目的地重要组成部分。</w:t>
      </w:r>
    </w:p>
    <w:p w14:paraId="05C69C1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幸福肇庆建设有效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增进民生福祉</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。民生底线不断筑牢，居民人均可支配收入与经济增长同步，城镇新增就业达到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20</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万人，人民生活更加富裕安康。多层次社会保障体系更加健全，养老服务需求更好满足，养老机构护理型床位占比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不低于85</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%。教育质量不断提升，高水平卫生健康体系更加完善。居民多样化住房需求得到满足。</w:t>
      </w:r>
    </w:p>
    <w:p w14:paraId="56A7895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美丽肇庆建设达到更高更稳定水平。生态文明治理体系更加完善，大湾区西部生态屏障更加牢固，绿色发展理念深入人心，水环境质量持续改善，城市水系活力明显提升，空气环境质量排名全国重点城市前列，生态系统多样性稳定性持续性不断增强。清洁低碳、安全高效的新型能源体系建设取得积极成效，如期实现2030年前碳达峰目标。</w:t>
      </w:r>
    </w:p>
    <w:p w14:paraId="6789255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平安肇庆建设有力保障社会长期稳定。安全屏障更加巩固，法治肇庆建设迈上更高水平，各类风险隐患排查化解能力显著提升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安全生产责任体系更加健全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公共安全治理水平不断提高，公共卫生事件应急处置能力显著增强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，网络生态治理长效机制更加健全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。基层社会治理体系更加完善，群众参与社会治理的渠道更加畅通。</w:t>
      </w:r>
    </w:p>
    <w:p w14:paraId="5533BE1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展望二〇三五年，肇庆与全国、全省一道基本实现社会主义现代化，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力争经济增速高于全国全省平均水平，综合竞争力迈上新台阶，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经济总量高质量跨越5000亿元，人均地区生产总值超过全国平均水平，接近全省平均水平以及中等发达国家水平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基本实现新型工业化、信息化、城镇化、农业农村现代化，一座产业兴旺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、城乡协调、</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生态优美、人民幸福的现代新都市将屹立于粤港澳大湾区世界级城市群。</w:t>
      </w:r>
    </w:p>
    <w:p w14:paraId="50E3A80F">
      <w:pPr>
        <w:pStyle w:val="8"/>
        <w:widowControl w:val="0"/>
        <w:kinsoku/>
        <w:overflowPunct w:val="0"/>
        <w:autoSpaceDE/>
        <w:autoSpaceDN/>
        <w:adjustRightInd/>
        <w:snapToGrid/>
        <w:spacing w:before="156" w:beforeLines="50" w:after="156" w:afterLines="50" w:line="500" w:lineRule="exact"/>
        <w:jc w:val="center"/>
        <w:rPr>
          <w:rFonts w:ascii="Times New Roman" w:hAnsi="Times New Roman" w:eastAsia="黑体" w:cs="黑体"/>
          <w:snapToGrid/>
          <w:color w:val="000000" w:themeColor="text1"/>
          <w:kern w:val="21"/>
          <w:sz w:val="28"/>
          <w:szCs w:val="28"/>
          <w:lang w:eastAsia="zh-CN"/>
          <w14:textFill>
            <w14:solidFill>
              <w14:schemeClr w14:val="tx1"/>
            </w14:solidFill>
          </w14:textFill>
        </w:rPr>
      </w:pPr>
      <w:bookmarkStart w:id="93" w:name="_Toc25937"/>
      <w:bookmarkStart w:id="94" w:name="_Toc804"/>
      <w:bookmarkStart w:id="95" w:name="_Toc7254"/>
      <w:bookmarkStart w:id="96" w:name="_Toc21554"/>
      <w:bookmarkStart w:id="97" w:name="_Toc32220"/>
      <w:bookmarkStart w:id="98" w:name="_Toc20181"/>
      <w:r>
        <w:rPr>
          <w:rFonts w:ascii="Times New Roman" w:hAnsi="Times New Roman" w:eastAsia="黑体" w:cs="黑体"/>
          <w:snapToGrid/>
          <w:color w:val="000000" w:themeColor="text1"/>
          <w:kern w:val="21"/>
          <w:sz w:val="28"/>
          <w:szCs w:val="28"/>
          <w:lang w:eastAsia="zh-CN"/>
          <w14:textFill>
            <w14:solidFill>
              <w14:schemeClr w14:val="tx1"/>
            </w14:solidFill>
          </w14:textFill>
        </w:rPr>
        <w:t>专栏1：</w:t>
      </w:r>
      <w:bookmarkEnd w:id="93"/>
      <w:bookmarkStart w:id="99" w:name="_Toc11060"/>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肇庆市“十五五”规划主要指标表</w:t>
      </w:r>
      <w:bookmarkEnd w:id="94"/>
      <w:bookmarkEnd w:id="95"/>
      <w:bookmarkEnd w:id="96"/>
      <w:bookmarkEnd w:id="97"/>
      <w:bookmarkEnd w:id="98"/>
      <w:bookmarkEnd w:id="99"/>
    </w:p>
    <w:tbl>
      <w:tblPr>
        <w:tblStyle w:val="23"/>
        <w:tblW w:w="9071" w:type="dxa"/>
        <w:jc w:val="center"/>
        <w:tblLayout w:type="fixed"/>
        <w:tblCellMar>
          <w:top w:w="0" w:type="dxa"/>
          <w:left w:w="0" w:type="dxa"/>
          <w:bottom w:w="0" w:type="dxa"/>
          <w:right w:w="0" w:type="dxa"/>
        </w:tblCellMar>
      </w:tblPr>
      <w:tblGrid>
        <w:gridCol w:w="594"/>
        <w:gridCol w:w="3898"/>
        <w:gridCol w:w="1092"/>
        <w:gridCol w:w="1257"/>
        <w:gridCol w:w="1076"/>
        <w:gridCol w:w="1154"/>
      </w:tblGrid>
      <w:tr w14:paraId="48003B46">
        <w:tblPrEx>
          <w:tblCellMar>
            <w:top w:w="0" w:type="dxa"/>
            <w:left w:w="0" w:type="dxa"/>
            <w:bottom w:w="0" w:type="dxa"/>
            <w:right w:w="0" w:type="dxa"/>
          </w:tblCellMar>
        </w:tblPrEx>
        <w:trPr>
          <w:trHeight w:val="567" w:hRule="atLeast"/>
          <w:tblHeader/>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44D3AC">
            <w:pPr>
              <w:widowControl w:val="0"/>
              <w:kinsoku/>
              <w:overflowPunct w:val="0"/>
              <w:autoSpaceDE/>
              <w:autoSpaceDN/>
              <w:adjustRightInd/>
              <w:snapToGrid/>
              <w:spacing w:line="320" w:lineRule="exact"/>
              <w:jc w:val="center"/>
              <w:textAlignment w:val="center"/>
              <w:rPr>
                <w:rFonts w:ascii="Times New Roman" w:hAnsi="Times New Roman" w:eastAsia="黑体" w:cs="Times New Roman"/>
                <w:snapToGrid/>
                <w:color w:val="000000" w:themeColor="text1"/>
                <w:kern w:val="21"/>
                <w:sz w:val="24"/>
                <w:szCs w:val="24"/>
                <w14:textFill>
                  <w14:solidFill>
                    <w14:schemeClr w14:val="tx1"/>
                  </w14:solidFill>
                </w14:textFill>
              </w:rPr>
            </w:pPr>
            <w:r>
              <w:rPr>
                <w:rFonts w:ascii="Times New Roman" w:hAnsi="Times New Roman" w:eastAsia="黑体" w:cs="Times New Roman"/>
                <w:snapToGrid/>
                <w:color w:val="000000" w:themeColor="text1"/>
                <w:kern w:val="21"/>
                <w:sz w:val="24"/>
                <w:szCs w:val="24"/>
                <w14:textFill>
                  <w14:solidFill>
                    <w14:schemeClr w14:val="tx1"/>
                  </w14:solidFill>
                </w14:textFill>
              </w:rPr>
              <w:t>序号</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2C0544">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14:textFill>
                  <w14:solidFill>
                    <w14:schemeClr w14:val="tx1"/>
                  </w14:solidFill>
                </w14:textFill>
              </w:rPr>
            </w:pP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具体</w:t>
            </w:r>
            <w:r>
              <w:rPr>
                <w:rFonts w:ascii="Times New Roman" w:hAnsi="Times New Roman" w:eastAsia="黑体" w:cs="Times New Roman"/>
                <w:snapToGrid/>
                <w:color w:val="000000" w:themeColor="text1"/>
                <w:kern w:val="21"/>
                <w:sz w:val="24"/>
                <w:szCs w:val="24"/>
                <w14:textFill>
                  <w14:solidFill>
                    <w14:schemeClr w14:val="tx1"/>
                  </w14:solidFill>
                </w14:textFill>
              </w:rPr>
              <w:t>指标</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76024A">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2025年</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AE94BE">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2030年</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728BB0">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黑体" w:cs="Times New Roman"/>
                <w:snapToGrid/>
                <w:color w:val="000000" w:themeColor="text1"/>
                <w:kern w:val="21"/>
                <w:sz w:val="24"/>
                <w:szCs w:val="24"/>
                <w:lang w:eastAsia="zh-CN"/>
                <w14:textFill>
                  <w14:solidFill>
                    <w14:schemeClr w14:val="tx1"/>
                  </w14:solidFill>
                </w14:textFill>
              </w:rPr>
              <w:t>“</w:t>
            </w: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十五五</w:t>
            </w:r>
            <w:r>
              <w:rPr>
                <w:rFonts w:hint="eastAsia" w:ascii="Times New Roman" w:hAnsi="Times New Roman" w:eastAsia="黑体" w:cs="Times New Roman"/>
                <w:snapToGrid/>
                <w:color w:val="000000" w:themeColor="text1"/>
                <w:kern w:val="21"/>
                <w:sz w:val="24"/>
                <w:szCs w:val="24"/>
                <w:lang w:eastAsia="zh-CN"/>
                <w14:textFill>
                  <w14:solidFill>
                    <w14:schemeClr w14:val="tx1"/>
                  </w14:solidFill>
                </w14:textFill>
              </w:rPr>
              <w:t>”</w:t>
            </w: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年</w:t>
            </w:r>
          </w:p>
          <w:p w14:paraId="67AE0F01">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均增速</w:t>
            </w:r>
          </w:p>
          <w:p w14:paraId="7B9C0AC1">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黑体" w:cs="Times New Roman"/>
                <w:snapToGrid/>
                <w:color w:val="000000" w:themeColor="text1"/>
                <w:kern w:val="21"/>
                <w:sz w:val="24"/>
                <w:szCs w:val="24"/>
                <w:lang w:eastAsia="zh-CN"/>
                <w14:textFill>
                  <w14:solidFill>
                    <w14:schemeClr w14:val="tx1"/>
                  </w14:solidFill>
                </w14:textFill>
              </w:rPr>
              <w:t>［</w:t>
            </w:r>
            <w:r>
              <w:rPr>
                <w:rFonts w:ascii="Times New Roman" w:hAnsi="Times New Roman" w:eastAsia="黑体" w:cs="Times New Roman"/>
                <w:snapToGrid/>
                <w:color w:val="000000" w:themeColor="text1"/>
                <w:kern w:val="21"/>
                <w:sz w:val="24"/>
                <w:szCs w:val="24"/>
                <w:lang w:eastAsia="zh-CN"/>
                <w14:textFill>
                  <w14:solidFill>
                    <w14:schemeClr w14:val="tx1"/>
                  </w14:solidFill>
                </w14:textFill>
              </w:rPr>
              <w:t>累计</w:t>
            </w:r>
            <w:r>
              <w:rPr>
                <w:rFonts w:hint="eastAsia" w:ascii="Times New Roman" w:hAnsi="Times New Roman" w:eastAsia="黑体"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6D0E8D">
            <w:pPr>
              <w:widowControl w:val="0"/>
              <w:kinsoku/>
              <w:overflowPunct w:val="0"/>
              <w:autoSpaceDE/>
              <w:autoSpaceDN/>
              <w:adjustRightInd/>
              <w:snapToGrid/>
              <w:spacing w:line="320" w:lineRule="exact"/>
              <w:jc w:val="center"/>
              <w:rPr>
                <w:rFonts w:ascii="Times New Roman" w:hAnsi="Times New Roman" w:eastAsia="黑体"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黑体" w:cs="Times New Roman"/>
                <w:snapToGrid/>
                <w:color w:val="000000" w:themeColor="text1"/>
                <w:kern w:val="21"/>
                <w:sz w:val="24"/>
                <w:szCs w:val="24"/>
                <w:lang w:eastAsia="zh-CN"/>
                <w14:textFill>
                  <w14:solidFill>
                    <w14:schemeClr w14:val="tx1"/>
                  </w14:solidFill>
                </w14:textFill>
              </w:rPr>
              <w:t>属性</w:t>
            </w:r>
          </w:p>
        </w:tc>
      </w:tr>
      <w:tr w14:paraId="7D172250">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6C0511F">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一、经济发展</w:t>
            </w:r>
          </w:p>
        </w:tc>
      </w:tr>
      <w:tr w14:paraId="693348C5">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FE47F22">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1</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1BE031">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地区生产总值及增速</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（亿元、%）</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4E2897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29</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74.84</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CF8E1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4000左右</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F3831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6</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左右</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5759EE3">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54D533F9">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E17C30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2</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302985">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全员劳动生产率增长（%）</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B5F982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1.2</w:t>
            </w:r>
            <w:r>
              <w:rPr>
                <w:rFonts w:hint="eastAsia" w:ascii="Times New Roman" w:hAnsi="Times New Roman" w:eastAsia="方正仿宋_GBK"/>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66A4B3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3E715D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与经济增长同步</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A50040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01510A5A">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2A219F2">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3</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48C316B">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地方一般公共预算收入及增速</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（亿元</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F5B8C6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240</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.19</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9E8D33">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25</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1E039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B9CC8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39110573">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D1B3BCE">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4</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CF13D0">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全社会研发经费投入增长</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2353F2">
            <w:pPr>
              <w:widowControl w:val="0"/>
              <w:kinsoku/>
              <w:overflowPunct w:val="0"/>
              <w:autoSpaceDE/>
              <w:autoSpaceDN/>
              <w:adjustRightInd/>
              <w:snapToGrid/>
              <w:spacing w:line="320" w:lineRule="exact"/>
              <w:jc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2F8EEDD">
            <w:pPr>
              <w:widowControl w:val="0"/>
              <w:kinsoku/>
              <w:overflowPunct w:val="0"/>
              <w:autoSpaceDE/>
              <w:autoSpaceDN/>
              <w:adjustRightInd/>
              <w:snapToGrid/>
              <w:spacing w:line="320" w:lineRule="exact"/>
              <w:jc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72928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3.5左右</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63147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434A16AB">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0D8A205">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二、新型工业化</w:t>
            </w:r>
          </w:p>
        </w:tc>
      </w:tr>
      <w:tr w14:paraId="5E1AF842">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044C0B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9A0305">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规上工业增加值及增速</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（亿元</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9B5A6C">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802.17</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9B641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1080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349C93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6</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49FEF1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5E84D637">
        <w:tblPrEx>
          <w:tblCellMar>
            <w:top w:w="0" w:type="dxa"/>
            <w:left w:w="0" w:type="dxa"/>
            <w:bottom w:w="0" w:type="dxa"/>
            <w:right w:w="0" w:type="dxa"/>
          </w:tblCellMar>
        </w:tblPrEx>
        <w:trPr>
          <w:trHeight w:val="705"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79EF5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6</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C338776">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高</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技术制造</w:t>
            </w:r>
            <w:r>
              <w:rPr>
                <w:rFonts w:ascii="Times New Roman" w:hAnsi="Times New Roman" w:eastAsia="方正仿宋_GBK" w:cs="Times New Roman"/>
                <w:snapToGrid/>
                <w:color w:val="000000" w:themeColor="text1"/>
                <w:kern w:val="21"/>
                <w:sz w:val="24"/>
                <w:szCs w:val="24"/>
                <w14:textFill>
                  <w14:solidFill>
                    <w14:schemeClr w14:val="tx1"/>
                  </w14:solidFill>
                </w14:textFill>
              </w:rPr>
              <w:t>业</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增加</w:t>
            </w:r>
            <w:r>
              <w:rPr>
                <w:rFonts w:ascii="Times New Roman" w:hAnsi="Times New Roman" w:eastAsia="方正仿宋_GBK" w:cs="Times New Roman"/>
                <w:snapToGrid/>
                <w:color w:val="000000" w:themeColor="text1"/>
                <w:kern w:val="21"/>
                <w:sz w:val="24"/>
                <w:szCs w:val="24"/>
                <w14:textFill>
                  <w14:solidFill>
                    <w14:schemeClr w14:val="tx1"/>
                  </w14:solidFill>
                </w14:textFill>
              </w:rPr>
              <w:t>值占规</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模以上</w:t>
            </w:r>
            <w:r>
              <w:rPr>
                <w:rFonts w:ascii="Times New Roman" w:hAnsi="Times New Roman" w:eastAsia="方正仿宋_GBK" w:cs="Times New Roman"/>
                <w:snapToGrid/>
                <w:color w:val="000000" w:themeColor="text1"/>
                <w:kern w:val="21"/>
                <w:sz w:val="24"/>
                <w:szCs w:val="24"/>
                <w14:textFill>
                  <w14:solidFill>
                    <w14:schemeClr w14:val="tx1"/>
                  </w14:solidFill>
                </w14:textFill>
              </w:rPr>
              <w:t>工业增加值比重</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402B2A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12.2</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EF749F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14.0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B2362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B54BC4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644BE990">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5A2621">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7</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16D8E41">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现代服务业增加值</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及增速</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（亿元</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E3E0A58">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610</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41EB9F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800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FB8CD8">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6左右</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11E06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75DFBB5F">
        <w:tblPrEx>
          <w:tblCellMar>
            <w:top w:w="0" w:type="dxa"/>
            <w:left w:w="0" w:type="dxa"/>
            <w:bottom w:w="0" w:type="dxa"/>
            <w:right w:w="0" w:type="dxa"/>
          </w:tblCellMar>
        </w:tblPrEx>
        <w:trPr>
          <w:trHeight w:val="790" w:hRule="atLeast"/>
          <w:jc w:val="center"/>
        </w:trPr>
        <w:tc>
          <w:tcPr>
            <w:tcW w:w="594" w:type="dxa"/>
            <w:tcBorders>
              <w:top w:val="single" w:color="auto" w:sz="4" w:space="0"/>
              <w:left w:val="single" w:color="auto" w:sz="4" w:space="0"/>
              <w:bottom w:val="single" w:color="auto" w:sz="4" w:space="0"/>
              <w:right w:val="single" w:color="auto" w:sz="4" w:space="0"/>
            </w:tcBorders>
            <w:vAlign w:val="center"/>
          </w:tcPr>
          <w:p w14:paraId="421DE87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8</w:t>
            </w:r>
          </w:p>
        </w:tc>
        <w:tc>
          <w:tcPr>
            <w:tcW w:w="3898" w:type="dxa"/>
            <w:tcBorders>
              <w:top w:val="single" w:color="auto" w:sz="4" w:space="0"/>
              <w:left w:val="single" w:color="auto" w:sz="4" w:space="0"/>
              <w:bottom w:val="single" w:color="auto" w:sz="4" w:space="0"/>
              <w:right w:val="single" w:color="auto" w:sz="4" w:space="0"/>
            </w:tcBorders>
            <w:vAlign w:val="center"/>
          </w:tcPr>
          <w:p w14:paraId="2A42201E">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数字经济核心产业增加值占GDP比重（%）</w:t>
            </w:r>
          </w:p>
        </w:tc>
        <w:tc>
          <w:tcPr>
            <w:tcW w:w="1092" w:type="dxa"/>
            <w:tcBorders>
              <w:top w:val="single" w:color="auto" w:sz="4" w:space="0"/>
              <w:left w:val="single" w:color="auto" w:sz="4" w:space="0"/>
              <w:bottom w:val="single" w:color="auto" w:sz="4" w:space="0"/>
              <w:right w:val="single" w:color="auto" w:sz="4" w:space="0"/>
            </w:tcBorders>
            <w:vAlign w:val="center"/>
          </w:tcPr>
          <w:p w14:paraId="6934CAA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4.1</w:t>
            </w:r>
            <w:r>
              <w:rPr>
                <w:rFonts w:hint="eastAsia" w:ascii="Times New Roman" w:hAnsi="Times New Roman" w:eastAsia="方正仿宋_GBK"/>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vAlign w:val="center"/>
          </w:tcPr>
          <w:p w14:paraId="5F64599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5.2</w:t>
            </w:r>
          </w:p>
        </w:tc>
        <w:tc>
          <w:tcPr>
            <w:tcW w:w="1076" w:type="dxa"/>
            <w:tcBorders>
              <w:top w:val="single" w:color="auto" w:sz="4" w:space="0"/>
              <w:left w:val="single" w:color="auto" w:sz="4" w:space="0"/>
              <w:bottom w:val="single" w:color="auto" w:sz="4" w:space="0"/>
              <w:right w:val="single" w:color="auto" w:sz="4" w:space="0"/>
            </w:tcBorders>
            <w:vAlign w:val="center"/>
          </w:tcPr>
          <w:p w14:paraId="4F9E6CC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vAlign w:val="center"/>
          </w:tcPr>
          <w:p w14:paraId="2BC082BC">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6A03ECD2">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vAlign w:val="center"/>
          </w:tcPr>
          <w:p w14:paraId="1518E8AC">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三、新型城镇化</w:t>
            </w:r>
          </w:p>
        </w:tc>
      </w:tr>
      <w:tr w14:paraId="65C1E373">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4E58D0B">
            <w:pPr>
              <w:widowControl w:val="0"/>
              <w:kinsoku/>
              <w:overflowPunct w:val="0"/>
              <w:autoSpaceDE/>
              <w:autoSpaceDN/>
              <w:adjustRightInd/>
              <w:snapToGrid/>
              <w:spacing w:line="320" w:lineRule="exact"/>
              <w:jc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9</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2710F96">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常住人口城镇化率（%）</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38AC1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55左右</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C2915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60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7BB1F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87C853">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5BA2DD8C">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0A50E4">
            <w:pPr>
              <w:widowControl w:val="0"/>
              <w:kinsoku/>
              <w:overflowPunct w:val="0"/>
              <w:autoSpaceDE/>
              <w:autoSpaceDN/>
              <w:adjustRightInd/>
              <w:snapToGrid/>
              <w:spacing w:line="320" w:lineRule="exact"/>
              <w:jc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10</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E47667">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城乡居民人均可支配收入比值</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BD001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1.56</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7102B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1.51</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571C6E">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DDDCA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2C5425C6">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FB333C5">
            <w:pPr>
              <w:widowControl w:val="0"/>
              <w:kinsoku/>
              <w:overflowPunct w:val="0"/>
              <w:autoSpaceDE/>
              <w:autoSpaceDN/>
              <w:adjustRightInd/>
              <w:snapToGrid/>
              <w:spacing w:line="320" w:lineRule="exact"/>
              <w:jc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11</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E0C74C9">
            <w:pPr>
              <w:widowControl w:val="0"/>
              <w:kinsoku/>
              <w:overflowPunct w:val="0"/>
              <w:autoSpaceDE/>
              <w:autoSpaceDN/>
              <w:adjustRightInd/>
              <w:snapToGrid/>
              <w:spacing w:line="320" w:lineRule="exact"/>
              <w:jc w:val="both"/>
              <w:textAlignment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劳动年龄人口平均受教育年限（年）</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96B4907">
            <w:pPr>
              <w:widowControl w:val="0"/>
              <w:kinsoku/>
              <w:overflowPunct w:val="0"/>
              <w:autoSpaceDE/>
              <w:autoSpaceDN/>
              <w:adjustRightInd/>
              <w:snapToGrid/>
              <w:spacing w:line="320" w:lineRule="exact"/>
              <w:jc w:val="center"/>
              <w:textAlignment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134DF60">
            <w:pPr>
              <w:widowControl w:val="0"/>
              <w:kinsoku/>
              <w:overflowPunct w:val="0"/>
              <w:autoSpaceDE/>
              <w:autoSpaceDN/>
              <w:adjustRightInd/>
              <w:snapToGrid/>
              <w:spacing w:line="320" w:lineRule="exact"/>
              <w:jc w:val="center"/>
              <w:textAlignment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12</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976995">
            <w:pPr>
              <w:widowControl w:val="0"/>
              <w:kinsoku/>
              <w:overflowPunct w:val="0"/>
              <w:autoSpaceDE/>
              <w:autoSpaceDN/>
              <w:adjustRightInd/>
              <w:snapToGrid/>
              <w:spacing w:line="320" w:lineRule="exact"/>
              <w:jc w:val="center"/>
              <w:textAlignment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C126FB7">
            <w:pPr>
              <w:widowControl w:val="0"/>
              <w:kinsoku/>
              <w:overflowPunct w:val="0"/>
              <w:autoSpaceDE/>
              <w:autoSpaceDN/>
              <w:adjustRightInd/>
              <w:snapToGrid/>
              <w:spacing w:line="320" w:lineRule="exact"/>
              <w:jc w:val="center"/>
              <w:textAlignment w:val="cente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0573FD20">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BF9634">
            <w:pPr>
              <w:widowControl w:val="0"/>
              <w:kinsoku/>
              <w:overflowPunct w:val="0"/>
              <w:autoSpaceDE/>
              <w:autoSpaceDN/>
              <w:adjustRightInd/>
              <w:snapToGrid/>
              <w:spacing w:line="320" w:lineRule="exact"/>
              <w:jc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ECA0E0">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普通公路通达水平（%）</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0544E6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7</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8左右</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6C9D4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90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519D55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CEDE1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77D181FC">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B6891BE">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四、民生福祉</w:t>
            </w:r>
          </w:p>
        </w:tc>
      </w:tr>
      <w:tr w14:paraId="2CD013C5">
        <w:tblPrEx>
          <w:tblCellMar>
            <w:top w:w="0" w:type="dxa"/>
            <w:left w:w="0" w:type="dxa"/>
            <w:bottom w:w="0" w:type="dxa"/>
            <w:right w:w="0" w:type="dxa"/>
          </w:tblCellMar>
        </w:tblPrEx>
        <w:trPr>
          <w:trHeight w:val="725"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B1E3B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3</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9F6E3E4">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居民人均可支配收入增长（%）</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3D6EFEC">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4.4</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3C5C6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9275D7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24"/>
                <w:szCs w:val="24"/>
                <w:lang w:eastAsia="zh-CN"/>
                <w14:textFill>
                  <w14:solidFill>
                    <w14:schemeClr w14:val="tx1"/>
                  </w14:solidFill>
                </w14:textFill>
              </w:rPr>
              <w:t>与经济增长同步</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580513E">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1DBD1561">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988083">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4</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1BFC66A">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公办高中入学率</w:t>
            </w:r>
            <w:r>
              <w:rPr>
                <w:rFonts w:ascii="Times New Roman" w:hAnsi="Times New Roman" w:eastAsia="方正仿宋_GBK" w:cs="Times New Roman"/>
                <w:snapToGrid/>
                <w:color w:val="000000" w:themeColor="text1"/>
                <w:kern w:val="21"/>
                <w:sz w:val="24"/>
                <w:szCs w:val="24"/>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0E80ECE">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45</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14D01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D8D30CE">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FC5A7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120D67DA">
        <w:tblPrEx>
          <w:tblCellMar>
            <w:top w:w="0" w:type="dxa"/>
            <w:left w:w="0" w:type="dxa"/>
            <w:bottom w:w="0" w:type="dxa"/>
            <w:right w:w="0" w:type="dxa"/>
          </w:tblCellMar>
        </w:tblPrEx>
        <w:trPr>
          <w:trHeight w:val="765"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5FC809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5</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C00F79">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人均预期寿命</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（岁）</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66E470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79.4</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4BF33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A634E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FE9DD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3AC7C147">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4CF4C2B">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五、绿色低碳</w:t>
            </w:r>
          </w:p>
        </w:tc>
      </w:tr>
      <w:tr w14:paraId="7A037465">
        <w:tblPrEx>
          <w:tblCellMar>
            <w:top w:w="0" w:type="dxa"/>
            <w:left w:w="0" w:type="dxa"/>
            <w:bottom w:w="0" w:type="dxa"/>
            <w:right w:w="0" w:type="dxa"/>
          </w:tblCellMar>
        </w:tblPrEx>
        <w:trPr>
          <w:trHeight w:val="1060"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BCCF85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6</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8831662">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单位GDP二氧化碳排放降低</w:t>
            </w:r>
            <w:r>
              <w:rPr>
                <w:rFonts w:ascii="Times New Roman" w:hAnsi="Times New Roman" w:eastAsia="方正仿宋_GBK" w:cs="Times New Roman"/>
                <w:snapToGrid/>
                <w:color w:val="000000" w:themeColor="text1"/>
                <w:kern w:val="21"/>
                <w:sz w:val="24"/>
                <w:szCs w:val="24"/>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FE7F5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20.7</w:t>
            </w:r>
            <w:r>
              <w:rPr>
                <w:rFonts w:hint="eastAsia" w:ascii="Times New Roman" w:hAnsi="Times New Roman" w:eastAsia="方正仿宋_GBK"/>
                <w:snapToGrid/>
                <w:color w:val="000000" w:themeColor="text1"/>
                <w:kern w:val="21"/>
                <w:sz w:val="24"/>
                <w:szCs w:val="24"/>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r>
              <w:rPr>
                <w:rFonts w:hint="eastAsia" w:ascii="Times New Roman" w:hAnsi="Times New Roman" w:eastAsia="方正仿宋_GBK"/>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5CBF309">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CA6D1A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49EA7C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623EDD69">
        <w:tblPrEx>
          <w:tblCellMar>
            <w:top w:w="0" w:type="dxa"/>
            <w:left w:w="0" w:type="dxa"/>
            <w:bottom w:w="0" w:type="dxa"/>
            <w:right w:w="0" w:type="dxa"/>
          </w:tblCellMar>
        </w:tblPrEx>
        <w:trPr>
          <w:trHeight w:val="1060"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4DB59D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7</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3106013">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非化石能源占能源消费总量比重（%）</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DA8F275">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DCF7BF5">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CEEA3F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393A02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4780269D">
        <w:tblPrEx>
          <w:tblCellMar>
            <w:top w:w="0" w:type="dxa"/>
            <w:left w:w="0" w:type="dxa"/>
            <w:bottom w:w="0" w:type="dxa"/>
            <w:right w:w="0" w:type="dxa"/>
          </w:tblCellMar>
        </w:tblPrEx>
        <w:trPr>
          <w:trHeight w:val="1033"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0F9C31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8</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61B3E2">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城市细颗粒物（PM</w:t>
            </w:r>
            <w:r>
              <w:rPr>
                <w:rFonts w:ascii="Times New Roman" w:hAnsi="Times New Roman" w:eastAsia="方正仿宋_GBK" w:cs="Times New Roman"/>
                <w:snapToGrid/>
                <w:color w:val="000000" w:themeColor="text1"/>
                <w:kern w:val="21"/>
                <w:sz w:val="24"/>
                <w:szCs w:val="24"/>
                <w:vertAlign w:val="subscript"/>
                <w14:textFill>
                  <w14:solidFill>
                    <w14:schemeClr w14:val="tx1"/>
                  </w14:solidFill>
                </w14:textFill>
              </w:rPr>
              <w:t>2.5</w:t>
            </w:r>
            <w:r>
              <w:rPr>
                <w:rFonts w:ascii="Times New Roman" w:hAnsi="Times New Roman" w:eastAsia="方正仿宋_GBK" w:cs="Times New Roman"/>
                <w:snapToGrid/>
                <w:color w:val="000000" w:themeColor="text1"/>
                <w:kern w:val="21"/>
                <w:sz w:val="24"/>
                <w:szCs w:val="24"/>
                <w14:textFill>
                  <w14:solidFill>
                    <w14:schemeClr w14:val="tx1"/>
                  </w14:solidFill>
                </w14:textFill>
              </w:rPr>
              <w:t>）浓度</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（微克/立方米）</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9AADA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2</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1.9</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845224C">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28557E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7EC9148">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14F46D36">
        <w:tblPrEx>
          <w:tblCellMar>
            <w:top w:w="0" w:type="dxa"/>
            <w:left w:w="0" w:type="dxa"/>
            <w:bottom w:w="0" w:type="dxa"/>
            <w:right w:w="0" w:type="dxa"/>
          </w:tblCellMar>
        </w:tblPrEx>
        <w:trPr>
          <w:trHeight w:val="1033"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0BB9A9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19</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713661">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优良</w:t>
            </w:r>
            <w:r>
              <w:rPr>
                <w:rFonts w:ascii="Times New Roman" w:hAnsi="Times New Roman" w:eastAsia="方正仿宋_GBK" w:cs="Times New Roman"/>
                <w:snapToGrid/>
                <w:color w:val="000000" w:themeColor="text1"/>
                <w:kern w:val="21"/>
                <w:sz w:val="24"/>
                <w:szCs w:val="24"/>
                <w14:textFill>
                  <w14:solidFill>
                    <w14:schemeClr w14:val="tx1"/>
                  </w14:solidFill>
                </w14:textFill>
              </w:rPr>
              <w:t>水体‌比例（%）</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62C9CC6">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100</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721C56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23EB7C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6C2211">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294306C8">
        <w:tblPrEx>
          <w:tblCellMar>
            <w:top w:w="0" w:type="dxa"/>
            <w:left w:w="0" w:type="dxa"/>
            <w:bottom w:w="0" w:type="dxa"/>
            <w:right w:w="0" w:type="dxa"/>
          </w:tblCellMar>
        </w:tblPrEx>
        <w:trPr>
          <w:trHeight w:val="1033"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B7DA6D5">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20</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62B819">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森林覆盖率</w:t>
            </w:r>
            <w:r>
              <w:rPr>
                <w:rFonts w:ascii="Times New Roman" w:hAnsi="Times New Roman" w:eastAsia="方正仿宋_GBK" w:cs="Times New Roman"/>
                <w:snapToGrid/>
                <w:color w:val="000000" w:themeColor="text1"/>
                <w:kern w:val="21"/>
                <w:sz w:val="24"/>
                <w:szCs w:val="24"/>
                <w14:textFill>
                  <w14:solidFill>
                    <w14:schemeClr w14:val="tx1"/>
                  </w14:solidFill>
                </w14:textFill>
              </w:rPr>
              <w:t>（%）</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73A8F0">
            <w:pPr>
              <w:pStyle w:val="8"/>
              <w:widowControl w:val="0"/>
              <w:kinsoku/>
              <w:overflowPunct w:val="0"/>
              <w:autoSpaceDE/>
              <w:autoSpaceDN/>
              <w:adjustRightInd/>
              <w:snapToGrid/>
              <w:spacing w:after="0" w:line="320" w:lineRule="exact"/>
              <w:jc w:val="center"/>
              <w:rPr>
                <w:rFonts w:ascii="Times New Roman" w:hAnsi="Times New Roman" w:eastAsia="仿宋_GB2312"/>
                <w:snapToGrid/>
                <w:color w:val="000000" w:themeColor="text1"/>
                <w:kern w:val="21"/>
                <w:sz w:val="24"/>
                <w:lang w:eastAsia="zh-CN"/>
                <w14:textFill>
                  <w14:solidFill>
                    <w14:schemeClr w14:val="tx1"/>
                  </w14:solidFill>
                </w14:textFill>
              </w:rPr>
            </w:pPr>
            <w:r>
              <w:rPr>
                <w:rFonts w:ascii="Times New Roman" w:hAnsi="Times New Roman" w:eastAsia="方正仿宋_GBK"/>
                <w:snapToGrid/>
                <w:color w:val="000000" w:themeColor="text1"/>
                <w:kern w:val="21"/>
                <w:sz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ED65B7F">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813FAD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按照省下达目标值执行</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7843BB3">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w:t>
            </w: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性</w:t>
            </w:r>
          </w:p>
        </w:tc>
      </w:tr>
      <w:tr w14:paraId="21BE4B80">
        <w:tblPrEx>
          <w:tblCellMar>
            <w:top w:w="0" w:type="dxa"/>
            <w:left w:w="0" w:type="dxa"/>
            <w:bottom w:w="0" w:type="dxa"/>
            <w:right w:w="0" w:type="dxa"/>
          </w:tblCellMar>
        </w:tblPrEx>
        <w:trPr>
          <w:trHeight w:val="567" w:hRule="atLeast"/>
          <w:jc w:val="center"/>
        </w:trPr>
        <w:tc>
          <w:tcPr>
            <w:tcW w:w="9071"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354EB1A">
            <w:pPr>
              <w:widowControl w:val="0"/>
              <w:kinsoku/>
              <w:overflowPunct w:val="0"/>
              <w:autoSpaceDE/>
              <w:autoSpaceDN/>
              <w:adjustRightInd/>
              <w:snapToGrid/>
              <w:spacing w:line="320" w:lineRule="exact"/>
              <w:ind w:left="105" w:leftChars="50"/>
              <w:jc w:val="both"/>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六、安全保障</w:t>
            </w:r>
          </w:p>
        </w:tc>
      </w:tr>
      <w:tr w14:paraId="41D0E753">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D66B21">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21</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0202C7">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财政自给率（%）</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9368E58">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4.2</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7A571C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5</w:t>
            </w: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5</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901AFB2">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C0F23E1">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预期性</w:t>
            </w:r>
          </w:p>
        </w:tc>
      </w:tr>
      <w:tr w14:paraId="6093CC39">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7CAD4F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22</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124F685">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粮食综合生产能力（万吨）</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74A7841">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119</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201B5C0">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121</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5D7AD4">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A31D9F2">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r w14:paraId="52F0B4FC">
        <w:tblPrEx>
          <w:tblCellMar>
            <w:top w:w="0" w:type="dxa"/>
            <w:left w:w="0" w:type="dxa"/>
            <w:bottom w:w="0" w:type="dxa"/>
            <w:right w:w="0" w:type="dxa"/>
          </w:tblCellMar>
        </w:tblPrEx>
        <w:trPr>
          <w:trHeight w:val="567" w:hRule="atLeast"/>
          <w:jc w:val="center"/>
        </w:trPr>
        <w:tc>
          <w:tcPr>
            <w:tcW w:w="5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E9A0EB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23</w:t>
            </w:r>
          </w:p>
        </w:tc>
        <w:tc>
          <w:tcPr>
            <w:tcW w:w="38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ABAFE2E">
            <w:pPr>
              <w:widowControl w:val="0"/>
              <w:kinsoku/>
              <w:overflowPunct w:val="0"/>
              <w:autoSpaceDE/>
              <w:autoSpaceDN/>
              <w:adjustRightInd/>
              <w:snapToGrid/>
              <w:spacing w:line="320" w:lineRule="exact"/>
              <w:jc w:val="both"/>
              <w:textAlignment w:val="center"/>
              <w:rPr>
                <w:rFonts w:ascii="Times New Roman" w:hAnsi="Times New Roman" w:eastAsia="仿宋_GB2312" w:cs="Times New Roman"/>
                <w:snapToGrid/>
                <w:color w:val="000000" w:themeColor="text1"/>
                <w:kern w:val="21"/>
                <w:sz w:val="24"/>
                <w:szCs w:val="24"/>
                <w14:textFill>
                  <w14:solidFill>
                    <w14:schemeClr w14:val="tx1"/>
                  </w14:solidFill>
                </w14:textFill>
              </w:rPr>
            </w:pPr>
            <w:r>
              <w:rPr>
                <w:rFonts w:ascii="Times New Roman" w:hAnsi="Times New Roman" w:eastAsia="方正仿宋_GBK" w:cs="Times New Roman"/>
                <w:snapToGrid/>
                <w:color w:val="000000" w:themeColor="text1"/>
                <w:kern w:val="21"/>
                <w:sz w:val="24"/>
                <w:szCs w:val="24"/>
                <w14:textFill>
                  <w14:solidFill>
                    <w14:schemeClr w14:val="tx1"/>
                  </w14:solidFill>
                </w14:textFill>
              </w:rPr>
              <w:t>能源综合生产能力（万吨标准煤）</w:t>
            </w:r>
          </w:p>
        </w:tc>
        <w:tc>
          <w:tcPr>
            <w:tcW w:w="10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97FC0C7">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120.36</w:t>
            </w:r>
            <w:r>
              <w:rPr>
                <w:rFonts w:hint="eastAsia" w:ascii="Times New Roman" w:hAnsi="Times New Roman" w:eastAsia="方正仿宋_GBK"/>
                <w:snapToGrid/>
                <w:color w:val="000000" w:themeColor="text1"/>
                <w:kern w:val="21"/>
                <w:sz w:val="24"/>
                <w:szCs w:val="24"/>
                <w:lang w:eastAsia="zh-CN"/>
                <w14:textFill>
                  <w14:solidFill>
                    <w14:schemeClr w14:val="tx1"/>
                  </w14:solidFill>
                </w14:textFill>
              </w:rPr>
              <w:t>*</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546E03D">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180</w:t>
            </w:r>
          </w:p>
        </w:tc>
        <w:tc>
          <w:tcPr>
            <w:tcW w:w="1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6B1BAB">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4"/>
                <w:szCs w:val="24"/>
                <w:lang w:eastAsia="zh-CN"/>
                <w14:textFill>
                  <w14:solidFill>
                    <w14:schemeClr w14:val="tx1"/>
                  </w14:solidFill>
                </w14:textFill>
              </w:rPr>
              <w:t>—</w:t>
            </w:r>
          </w:p>
        </w:tc>
        <w:tc>
          <w:tcPr>
            <w:tcW w:w="115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BE3C9FA">
            <w:pPr>
              <w:widowControl w:val="0"/>
              <w:kinsoku/>
              <w:overflowPunct w:val="0"/>
              <w:autoSpaceDE/>
              <w:autoSpaceDN/>
              <w:adjustRightInd/>
              <w:snapToGrid/>
              <w:spacing w:line="320" w:lineRule="exact"/>
              <w:jc w:val="center"/>
              <w:textAlignment w:val="center"/>
              <w:rPr>
                <w:rFonts w:ascii="Times New Roman" w:hAnsi="Times New Roman" w:eastAsia="仿宋_GB2312" w:cs="Times New Roman"/>
                <w:snapToGrid/>
                <w:color w:val="000000" w:themeColor="text1"/>
                <w:kern w:val="21"/>
                <w:sz w:val="24"/>
                <w:szCs w:val="24"/>
                <w:lang w:eastAsia="zh-CN"/>
                <w14:textFill>
                  <w14:solidFill>
                    <w14:schemeClr w14:val="tx1"/>
                  </w14:solidFill>
                </w14:textFill>
              </w:rPr>
            </w:pPr>
            <w:r>
              <w:rPr>
                <w:rFonts w:ascii="Times New Roman" w:hAnsi="Times New Roman" w:eastAsia="方正仿宋_GBK" w:cs="Times New Roman"/>
                <w:snapToGrid/>
                <w:color w:val="000000" w:themeColor="text1"/>
                <w:kern w:val="21"/>
                <w:sz w:val="24"/>
                <w:szCs w:val="24"/>
                <w:lang w:eastAsia="zh-CN"/>
                <w14:textFill>
                  <w14:solidFill>
                    <w14:schemeClr w14:val="tx1"/>
                  </w14:solidFill>
                </w14:textFill>
              </w:rPr>
              <w:t>约束性</w:t>
            </w:r>
          </w:p>
        </w:tc>
      </w:tr>
    </w:tbl>
    <w:p w14:paraId="2D2F0EBB">
      <w:pPr>
        <w:pStyle w:val="8"/>
        <w:widowControl w:val="0"/>
        <w:kinsoku/>
        <w:overflowPunct w:val="0"/>
        <w:autoSpaceDE/>
        <w:autoSpaceDN/>
        <w:adjustRightInd/>
        <w:snapToGrid/>
        <w:spacing w:before="156" w:beforeLines="50" w:after="0" w:line="320" w:lineRule="exact"/>
        <w:jc w:val="both"/>
        <w:rPr>
          <w:rFonts w:ascii="Times New Roman" w:hAnsi="Times New Roman" w:eastAsia="方正仿宋_GBK"/>
          <w:snapToGrid/>
          <w:color w:val="000000" w:themeColor="text1"/>
          <w:kern w:val="21"/>
          <w:lang w:eastAsia="zh-CN"/>
          <w14:textFill>
            <w14:solidFill>
              <w14:schemeClr w14:val="tx1"/>
            </w14:solidFill>
          </w14:textFill>
        </w:rPr>
      </w:pPr>
      <w:r>
        <w:rPr>
          <w:rFonts w:hint="eastAsia" w:ascii="Times New Roman" w:hAnsi="Times New Roman" w:eastAsia="方正仿宋_GBK"/>
          <w:snapToGrid/>
          <w:color w:val="000000" w:themeColor="text1"/>
          <w:kern w:val="21"/>
          <w:lang w:eastAsia="zh-CN"/>
          <w14:textFill>
            <w14:solidFill>
              <w14:schemeClr w14:val="tx1"/>
            </w14:solidFill>
          </w14:textFill>
        </w:rPr>
        <w:t>注：1.［  ］内为累计数。</w:t>
      </w:r>
    </w:p>
    <w:p w14:paraId="564047DD">
      <w:pPr>
        <w:pStyle w:val="8"/>
        <w:widowControl w:val="0"/>
        <w:kinsoku/>
        <w:overflowPunct w:val="0"/>
        <w:autoSpaceDE/>
        <w:autoSpaceDN/>
        <w:adjustRightInd/>
        <w:snapToGrid/>
        <w:spacing w:after="0" w:line="320" w:lineRule="exact"/>
        <w:ind w:firstLine="420" w:firstLineChars="200"/>
        <w:jc w:val="both"/>
        <w:rPr>
          <w:rFonts w:ascii="Times New Roman" w:hAnsi="Times New Roman" w:eastAsia="方正仿宋_GBK"/>
          <w:snapToGrid/>
          <w:color w:val="000000" w:themeColor="text1"/>
          <w:kern w:val="21"/>
          <w:lang w:eastAsia="zh-CN"/>
          <w14:textFill>
            <w14:solidFill>
              <w14:schemeClr w14:val="tx1"/>
            </w14:solidFill>
          </w14:textFill>
        </w:rPr>
      </w:pPr>
      <w:r>
        <w:rPr>
          <w:rFonts w:hint="eastAsia" w:ascii="Times New Roman" w:hAnsi="Times New Roman" w:eastAsia="方正仿宋_GBK"/>
          <w:snapToGrid/>
          <w:color w:val="000000" w:themeColor="text1"/>
          <w:kern w:val="21"/>
          <w:lang w:eastAsia="zh-CN"/>
          <w14:textFill>
            <w14:solidFill>
              <w14:schemeClr w14:val="tx1"/>
            </w14:solidFill>
          </w14:textFill>
        </w:rPr>
        <w:t>2.</w:t>
      </w:r>
      <w:r>
        <w:rPr>
          <w:rFonts w:ascii="Times New Roman" w:hAnsi="Times New Roman" w:eastAsia="方正仿宋_GBK"/>
          <w:snapToGrid/>
          <w:color w:val="000000" w:themeColor="text1"/>
          <w:kern w:val="21"/>
          <w:lang w:eastAsia="zh-CN"/>
          <w14:textFill>
            <w14:solidFill>
              <w14:schemeClr w14:val="tx1"/>
            </w14:solidFill>
          </w14:textFill>
        </w:rPr>
        <w:t>带</w:t>
      </w:r>
      <w:r>
        <w:rPr>
          <w:rFonts w:hint="eastAsia" w:ascii="Times New Roman" w:hAnsi="Times New Roman" w:eastAsia="方正仿宋_GBK"/>
          <w:snapToGrid/>
          <w:color w:val="000000" w:themeColor="text1"/>
          <w:kern w:val="21"/>
          <w:lang w:eastAsia="zh-CN"/>
          <w14:textFill>
            <w14:solidFill>
              <w14:schemeClr w14:val="tx1"/>
            </w14:solidFill>
          </w14:textFill>
        </w:rPr>
        <w:t>*</w:t>
      </w:r>
      <w:r>
        <w:rPr>
          <w:rFonts w:ascii="Times New Roman" w:hAnsi="Times New Roman" w:eastAsia="方正仿宋_GBK"/>
          <w:snapToGrid/>
          <w:color w:val="000000" w:themeColor="text1"/>
          <w:kern w:val="21"/>
          <w:lang w:eastAsia="zh-CN"/>
          <w14:textFill>
            <w14:solidFill>
              <w14:schemeClr w14:val="tx1"/>
            </w14:solidFill>
          </w14:textFill>
        </w:rPr>
        <w:t>的为2024年数据。</w:t>
      </w:r>
    </w:p>
    <w:p w14:paraId="7B7690A8">
      <w:pPr>
        <w:pStyle w:val="8"/>
        <w:widowControl w:val="0"/>
        <w:kinsoku/>
        <w:overflowPunct w:val="0"/>
        <w:autoSpaceDE/>
        <w:autoSpaceDN/>
        <w:adjustRightInd/>
        <w:snapToGrid/>
        <w:spacing w:after="0" w:line="320" w:lineRule="exact"/>
        <w:ind w:firstLine="420" w:firstLineChars="200"/>
        <w:jc w:val="both"/>
        <w:rPr>
          <w:rFonts w:ascii="Times New Roman" w:hAnsi="Times New Roman" w:eastAsia="方正仿宋_GBK"/>
          <w:snapToGrid/>
          <w:color w:val="000000" w:themeColor="text1"/>
          <w:kern w:val="21"/>
          <w:lang w:eastAsia="zh-CN"/>
          <w14:textFill>
            <w14:solidFill>
              <w14:schemeClr w14:val="tx1"/>
            </w14:solidFill>
          </w14:textFill>
        </w:rPr>
      </w:pPr>
      <w:r>
        <w:rPr>
          <w:rFonts w:ascii="Times New Roman" w:hAnsi="Times New Roman" w:eastAsia="方正仿宋_GBK"/>
          <w:snapToGrid/>
          <w:color w:val="000000" w:themeColor="text1"/>
          <w:kern w:val="21"/>
          <w:lang w:eastAsia="zh-CN"/>
          <w14:textFill>
            <w14:solidFill>
              <w14:schemeClr w14:val="tx1"/>
            </w14:solidFill>
          </w14:textFill>
        </w:rPr>
        <w:t>3.带</w:t>
      </w:r>
      <w:r>
        <w:rPr>
          <w:rFonts w:hint="eastAsia" w:ascii="Times New Roman" w:hAnsi="Times New Roman" w:eastAsia="方正仿宋_GBK"/>
          <w:snapToGrid/>
          <w:color w:val="000000" w:themeColor="text1"/>
          <w:kern w:val="21"/>
          <w:lang w:eastAsia="zh-CN"/>
          <w14:textFill>
            <w14:solidFill>
              <w14:schemeClr w14:val="tx1"/>
            </w14:solidFill>
          </w14:textFill>
        </w:rPr>
        <w:t>**</w:t>
      </w:r>
      <w:r>
        <w:rPr>
          <w:rFonts w:ascii="Times New Roman" w:hAnsi="Times New Roman" w:eastAsia="方正仿宋_GBK"/>
          <w:snapToGrid/>
          <w:color w:val="000000" w:themeColor="text1"/>
          <w:kern w:val="21"/>
          <w:lang w:eastAsia="zh-CN"/>
          <w14:textFill>
            <w14:solidFill>
              <w14:schemeClr w14:val="tx1"/>
            </w14:solidFill>
          </w14:textFill>
        </w:rPr>
        <w:t>的</w:t>
      </w:r>
      <w:r>
        <w:rPr>
          <w:rFonts w:hint="eastAsia" w:ascii="Times New Roman" w:hAnsi="Times New Roman" w:eastAsia="方正仿宋_GBK"/>
          <w:snapToGrid/>
          <w:color w:val="000000" w:themeColor="text1"/>
          <w:kern w:val="21"/>
          <w:lang w:eastAsia="zh-CN"/>
          <w14:textFill>
            <w14:solidFill>
              <w14:schemeClr w14:val="tx1"/>
            </w14:solidFill>
          </w14:textFill>
        </w:rPr>
        <w:t>为2021—2024年累计数。</w:t>
      </w:r>
    </w:p>
    <w:p w14:paraId="757B7489">
      <w:pPr>
        <w:widowControl w:val="0"/>
        <w:numPr>
          <w:ilvl w:val="255"/>
          <w:numId w:val="0"/>
        </w:numPr>
        <w:kinsoku/>
        <w:overflowPunct w:val="0"/>
        <w:autoSpaceDE/>
        <w:autoSpaceDN/>
        <w:adjustRightInd/>
        <w:snapToGrid/>
        <w:spacing w:line="590" w:lineRule="exact"/>
        <w:jc w:val="center"/>
        <w:textAlignment w:val="auto"/>
        <w:outlineLvl w:val="0"/>
        <w:rPr>
          <w:rFonts w:ascii="Times New Roman" w:hAnsi="Times New Roman" w:eastAsia="方正小标宋_GBK" w:cs="方正小标宋_GBK"/>
          <w:snapToGrid/>
          <w:color w:val="000000" w:themeColor="text1"/>
          <w:kern w:val="21"/>
          <w:sz w:val="36"/>
          <w:szCs w:val="36"/>
          <w:lang w:eastAsia="zh-CN"/>
          <w14:textFill>
            <w14:solidFill>
              <w14:schemeClr w14:val="tx1"/>
            </w14:solidFill>
          </w14:textFill>
        </w:rPr>
      </w:pPr>
      <w:bookmarkStart w:id="100" w:name="_Toc8474"/>
      <w:bookmarkStart w:id="101" w:name="_Toc25974"/>
      <w:bookmarkStart w:id="102" w:name="_Toc326718829"/>
      <w:bookmarkStart w:id="103" w:name="_Toc1075707363"/>
      <w:bookmarkStart w:id="104" w:name="_Toc23896"/>
      <w:bookmarkStart w:id="105" w:name="_Toc20384"/>
      <w:bookmarkStart w:id="106" w:name="_Toc1181246557"/>
      <w:bookmarkStart w:id="107" w:name="_Toc916028638"/>
      <w:r>
        <w:rPr>
          <w:rFonts w:hint="eastAsia" w:ascii="Times New Roman" w:hAnsi="Times New Roman" w:eastAsia="方正小标宋_GBK" w:cs="方正小标宋_GBK"/>
          <w:snapToGrid/>
          <w:color w:val="000000" w:themeColor="text1"/>
          <w:kern w:val="21"/>
          <w:sz w:val="36"/>
          <w:szCs w:val="36"/>
          <w:lang w:eastAsia="zh-CN"/>
          <w14:textFill>
            <w14:solidFill>
              <w14:schemeClr w14:val="tx1"/>
            </w14:solidFill>
          </w14:textFill>
        </w:rPr>
        <w:br w:type="page"/>
      </w:r>
    </w:p>
    <w:p w14:paraId="16E058C3">
      <w:pPr>
        <w:widowControl w:val="0"/>
        <w:kinsoku/>
        <w:overflowPunct w:val="0"/>
        <w:autoSpaceDE/>
        <w:autoSpaceDN/>
        <w:adjustRightInd/>
        <w:snapToGrid/>
        <w:spacing w:line="400" w:lineRule="exact"/>
        <w:rPr>
          <w:rFonts w:ascii="Times New Roman" w:hAnsi="Times New Roman"/>
          <w:color w:val="000000" w:themeColor="text1"/>
          <w:lang w:eastAsia="zh-CN"/>
          <w14:textFill>
            <w14:solidFill>
              <w14:schemeClr w14:val="tx1"/>
            </w14:solidFill>
          </w14:textFill>
        </w:rPr>
      </w:pPr>
    </w:p>
    <w:p w14:paraId="15BB4820">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第二章  深入实施“九九”融湾行动，打造粤港澳</w:t>
      </w:r>
      <w:bookmarkEnd w:id="100"/>
      <w:bookmarkEnd w:id="101"/>
      <w:bookmarkStart w:id="108" w:name="_Toc89"/>
      <w:bookmarkStart w:id="109" w:name="_Toc32653"/>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大湾区</w:t>
      </w:r>
    </w:p>
    <w:p w14:paraId="4B1A06C2">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面向大西南门户枢纽</w:t>
      </w:r>
      <w:bookmarkEnd w:id="102"/>
      <w:bookmarkEnd w:id="103"/>
      <w:bookmarkEnd w:id="104"/>
      <w:bookmarkEnd w:id="105"/>
      <w:bookmarkEnd w:id="106"/>
      <w:bookmarkEnd w:id="107"/>
      <w:bookmarkEnd w:id="108"/>
      <w:bookmarkEnd w:id="109"/>
    </w:p>
    <w:p w14:paraId="11C639E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1EB513BE">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围绕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一点两地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全新定位，久久为功参与粤港澳大湾区建设，以更大体量、更高能级融入大湾区世界级城市群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协同推动大湾区内涵式高质量发展。</w:t>
      </w:r>
    </w:p>
    <w:p w14:paraId="46291B74">
      <w:pPr>
        <w:widowControl w:val="0"/>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0" w:name="_Toc394982088_WPSOffice_Level2"/>
      <w:bookmarkStart w:id="111" w:name="_Toc224294044"/>
      <w:bookmarkStart w:id="112" w:name="_Toc3050"/>
      <w:bookmarkStart w:id="113" w:name="_Toc460759653"/>
      <w:bookmarkStart w:id="114" w:name="_Toc196283800"/>
      <w:bookmarkStart w:id="115" w:name="_Toc1228754161"/>
      <w:bookmarkStart w:id="116" w:name="_Toc1868"/>
      <w:bookmarkStart w:id="117" w:name="_Toc31192"/>
      <w:bookmarkStart w:id="118" w:name="_Toc1744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推动</w:t>
      </w:r>
      <w:bookmarkEnd w:id="11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全方位互联互通</w:t>
      </w:r>
      <w:bookmarkEnd w:id="111"/>
      <w:bookmarkEnd w:id="112"/>
      <w:bookmarkEnd w:id="113"/>
      <w:bookmarkEnd w:id="114"/>
      <w:bookmarkEnd w:id="115"/>
      <w:bookmarkEnd w:id="116"/>
      <w:bookmarkEnd w:id="117"/>
    </w:p>
    <w:p w14:paraId="70AEFF0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持续推进基础设施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硬联通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、规则机制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软联通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、湾区居民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心联通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，加快构建内外联动、双向互济的发展格局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19CC794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持续推进基础设施“硬联通”。加快</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交通对接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，打造大湾区西部综合交通枢纽，深度参与建设“轨道上的大湾区”，重点强化与广深港澳核心城市的轨道联通，加密肇庆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深圳、香港等大湾区核心城市高铁往来班次。</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大西南地区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铁路快捷联通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，加强对广西、贵州、云南、</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四川</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地区的延伸和辐射。共建大湾区江海联运体系，配合推动西江水道扩能升级，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西江内河航运。参与建设大湾区世界级机场群，强化与广深港澳机场协同联动，探索开通至香港国际机场的“跨市货运专线”，畅通航空货运通道。</w:t>
      </w:r>
    </w:p>
    <w:p w14:paraId="2529A5C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持续深化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规则机制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软联通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粤省事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肇庆专版与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“全肇办”</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平台功能，增加与广州、佛山、深圳高频政务服务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跨域通办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事项，实现企业登记、经营许可等涉企事项全生命周期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一网通办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。探索更多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湾区标准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湾区认证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，加快提升市场一体化水平，建立与大湾区核心城市产业标准衔接机制，推动新能源汽车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零部件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制造</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电子信息等产业检测认证结果互认。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谋划建立肇庆高铁、城际安检互认的便捷换乘模式，促进轨道交通“四网融合”</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4E22D47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持续加强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湾区居民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心联通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。推动与港澳同胞交往交流交融，常态化举办各类粤港澳青年交流活动，持续推动港澳青少年来肇研学旅行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推出更多港澳居民便利化措施，推动港澳居民及随迁子女可同等享受教育、医疗、社保、养老等民生服务，吸引更多港澳居民来肇就业创业、旅居生活，不断增强港澳居民获得感、幸福感、安全感。</w:t>
      </w:r>
      <w:bookmarkEnd w:id="118"/>
    </w:p>
    <w:p w14:paraId="389068B1">
      <w:pPr>
        <w:widowControl w:val="0"/>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9" w:name="_Toc139497432"/>
      <w:bookmarkStart w:id="120" w:name="_Toc30328"/>
      <w:bookmarkStart w:id="121" w:name="_Toc845179481"/>
      <w:bookmarkStart w:id="122" w:name="_Toc31172"/>
      <w:bookmarkStart w:id="123" w:name="_Toc18735"/>
      <w:bookmarkStart w:id="124" w:name="_Toc668695748"/>
      <w:bookmarkStart w:id="125" w:name="_Toc30992"/>
      <w:bookmarkStart w:id="126" w:name="_Toc138318087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加强重大区域平台对接</w:t>
      </w:r>
      <w:bookmarkEnd w:id="119"/>
      <w:bookmarkEnd w:id="120"/>
      <w:bookmarkEnd w:id="121"/>
      <w:bookmarkEnd w:id="122"/>
      <w:bookmarkEnd w:id="123"/>
      <w:bookmarkEnd w:id="124"/>
      <w:bookmarkEnd w:id="125"/>
      <w:bookmarkEnd w:id="126"/>
    </w:p>
    <w:p w14:paraId="778523F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以重大区域平台对接合作为突破口，强化与大湾区核心平台协同联动，建强市域融湾承载载体，构建层级清晰、功能互补、协同高效的平台合作体系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75CB32C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与粤港澳大湾区重大平台交流合作。构建差异化平台对接体系，对接前海深港现代服务业合作区，联合开展科技金融产品创新，谋划承接数字贸易、跨境金融等服务业外溢资源。联动广州南沙粤港澳合作平台，聚焦新能源汽车及零部件制造、先进装备制造等产业，共建跨区域产业链配套基地。衔接河套深港科技创新合作区与横琴粤澳合作中医药科技产业园，重点承接生物医药、新材料等领域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合作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，共享港澳科研资源与国际认证渠道。</w:t>
      </w:r>
    </w:p>
    <w:p w14:paraId="0BE4029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加快市域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大湾区平台载体建设发展。提速提质推进粤桂合作特别试验区（肇庆）建设，鼓励试验区在重点领域、关键环节大胆探索、先行先试。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高水平</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打造肇庆（怀集）绿色农副产品集散基地，积极构建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前端市场、中端深加工、后端战略储备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的发展模式和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一中心多节点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产业闭环。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绿色崛起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步伐</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巩固提升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粤港澳大湾区（肇庆）绿色能源基地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建设成效</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。深化肇庆新区粤港澳特色合作发展，强化资源要素集聚和产业协同联动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全面提升各类平台载体对融湾发展的支撑引领效能。</w:t>
      </w:r>
    </w:p>
    <w:p w14:paraId="00C16F1B">
      <w:pPr>
        <w:widowControl w:val="0"/>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27" w:name="_Toc26817"/>
      <w:bookmarkStart w:id="128" w:name="_Toc2743"/>
      <w:bookmarkStart w:id="129" w:name="_Toc956630584"/>
      <w:bookmarkStart w:id="130" w:name="_Toc1032988396"/>
      <w:bookmarkStart w:id="131" w:name="_Toc9418"/>
      <w:bookmarkStart w:id="132" w:name="_Toc11906"/>
      <w:bookmarkStart w:id="133" w:name="_Toc1247035633"/>
      <w:bookmarkStart w:id="134" w:name="_Toc184451592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推动产业科技合作走深走实</w:t>
      </w:r>
      <w:bookmarkEnd w:id="127"/>
      <w:bookmarkEnd w:id="128"/>
      <w:bookmarkEnd w:id="129"/>
      <w:bookmarkEnd w:id="130"/>
      <w:bookmarkEnd w:id="131"/>
      <w:bookmarkEnd w:id="132"/>
      <w:bookmarkEnd w:id="133"/>
      <w:bookmarkEnd w:id="134"/>
    </w:p>
    <w:p w14:paraId="5CEA54E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立足肇庆产业基础与科创禀赋，主动对接粤港澳大湾区现代产业体系和国际科技创新中心建设全局，推动产业互补发展、科技成果转化、人才交流集聚。</w:t>
      </w:r>
    </w:p>
    <w:p w14:paraId="2D5E5AC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共建粤港澳大湾区现代化产业体系。</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强化农业领域对接，积极配合推动大湾区中药材（中药饮片）质量标准互通互认，支持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肇庆肉桂、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德庆南药、怀集农副产品等特色品牌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全面对接供港澳标准体系，探索供港澳农产品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统购统销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模式，支持具备供港澳资质农业企业发展壮大。深度参与大湾区产业链分工，聚焦新能源汽车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及零部件制造</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领域，进一步提升三电系统等关键部件的配套研发能力，深化与广深车企供应链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扩展新型储能领域，加快构建从电芯生产到储能系统集成的全产业链条，打造储能电池生产及应用集群。做强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电子信息领域，承接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深莞产业外溢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积极参与粤港澳大湾区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高端服务业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，承接广深信息服务产业研发及服务外溢，构建信息服务业集群；深化与香港现代服务业联动，重点承接金融服务、专业服务等产业外溢资源。</w:t>
      </w:r>
    </w:p>
    <w:p w14:paraId="22E579B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加快融入粤港澳大湾区国际科技创新中心建设。精准对接广深港、广珠澳创新走廊资源，加快建设粤港澳大湾区科技创新产业重要聚集地、科技成果转化承载地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深化港澳创新协同，推进高鼎端科教创新走廊建设，推动走廊内创新主体积极对接港澳科创资源，实施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肇港科技赋能计划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项目，开展协同科研攻关，探索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香港研发+肇庆转化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香港服务+肇庆智造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模式。加强与澳门在中医药研发创新领域多层次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合作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，协同共建粤澳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中医药联合创新平台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。全面参与粤港澳大湾区高水平人才高地建设，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深化港澳人才交流合作。</w:t>
      </w:r>
    </w:p>
    <w:p w14:paraId="131E73A8">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35" w:name="_Toc4950"/>
      <w:bookmarkStart w:id="136" w:name="_Toc881986709"/>
      <w:bookmarkStart w:id="137" w:name="_Toc16235"/>
      <w:bookmarkStart w:id="138" w:name="_Toc14987"/>
      <w:bookmarkStart w:id="139" w:name="_Toc27474"/>
      <w:bookmarkStart w:id="140" w:name="_Toc1571390871"/>
      <w:bookmarkStart w:id="141" w:name="_Toc1692183498"/>
      <w:bookmarkStart w:id="142" w:name="_Toc1513"/>
      <w:bookmarkStart w:id="143" w:name="_Toc79640282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强化粤港澳大湾区面向大西南门户枢纽</w:t>
      </w:r>
      <w:bookmarkEnd w:id="13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功能</w:t>
      </w:r>
      <w:bookmarkEnd w:id="136"/>
      <w:bookmarkEnd w:id="137"/>
      <w:bookmarkEnd w:id="138"/>
      <w:bookmarkEnd w:id="139"/>
      <w:bookmarkEnd w:id="140"/>
      <w:bookmarkEnd w:id="141"/>
      <w:bookmarkEnd w:id="142"/>
      <w:bookmarkEnd w:id="143"/>
    </w:p>
    <w:p w14:paraId="7352384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聚焦物流通道贯通、贸易中转强化、供应链服务完善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关键方向，构建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通道+枢纽+产业+贸易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协同发展格局，全面提升门户枢纽集聚辐射效能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4C8E303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谋划贯通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物流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通道</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铁公水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联动通道，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港口+铁路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直达班列，重点服务煤炭、建材等大宗商品、装备零部件、电子元器件等工业制成品的跨区域运输。深化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空铁联运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衔接，重点对接广州白云机场、深圳宝安机场、广州新机场，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至三大机场的客货运直达班线。推动肇庆东站综合交通枢纽升级，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航空+城轨/高铁冷链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专线，服务生鲜农产品、生物医药等物流需求。推动产业园区专用通道建设，聚焦肇庆高新区、肇庆新区、大型产业集聚区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肇庆金利高新区等重点产业载体，规划建设园区与交通枢纽的货运通道。</w:t>
      </w:r>
    </w:p>
    <w:p w14:paraId="5B81956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强化大湾区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大西南双向贸易中转功能。探索建设大湾区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大西南农产品集散地，打造系列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商贸会展和合作平台，联动大西南主产区建立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直采直供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机制，拓宽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小肇上菜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区域品牌流通渠道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升级四会玉器、金利五金等传统优势交易市场，拓展直播电商、跨境电商等新型交易模式</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壮大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新兴专业市场，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紧扣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大湾区产业外溢与大西南产业升级需求，布局</w:t>
      </w:r>
      <w:r>
        <w:rPr>
          <w:rFonts w:ascii="Times New Roman" w:hAnsi="Times New Roman" w:eastAsia="方正仿宋_GBK" w:cs="Times New Roman Regular"/>
          <w:snapToGrid/>
          <w:color w:val="000000" w:themeColor="text1"/>
          <w:kern w:val="21"/>
          <w:sz w:val="32"/>
          <w:szCs w:val="32"/>
          <w:lang w:eastAsia="zh-CN" w:bidi="ar"/>
          <w14:textFill>
            <w14:solidFill>
              <w14:schemeClr w14:val="tx1"/>
            </w14:solidFill>
          </w14:textFill>
        </w:rPr>
        <w:t>新型电子元器件、新能源汽车零部件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等专业交易平台，填补区域贸易载体空白。逐步深化肇贺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多领域深层次协作发展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，推动合作向更广范围、更深层次、更高水平迈进。</w:t>
      </w:r>
    </w:p>
    <w:p w14:paraId="2DB1424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完善供应链支撑服务。提升供应链协同效能，整合三水</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大旺产业链供需对接平台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资源，建设肇庆供应链数智服务平台，深化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枢纽+产业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协同模式，推动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大湾区研发设计+肇庆制造加工+大西南市场拓展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西南资源供应+肇庆集散加工+大湾区分销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双向联动，培育智慧供应链、供应链金融等新业态。培育会展经济平台，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搭建高效供需对接平台，常态化举办大湾区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大西南土特产博览会，建设大湾区与大西南优质农产品流通的“中转站”。</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强化会展与物流、贸易的联动效应，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促进品牌建设与市场拓展，增强供应链韧性。</w:t>
      </w:r>
    </w:p>
    <w:p w14:paraId="6D4755FB">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44" w:name="_Toc828562864"/>
      <w:bookmarkStart w:id="145" w:name="_Toc31245"/>
      <w:bookmarkStart w:id="146" w:name="_Toc17804"/>
      <w:bookmarkStart w:id="147" w:name="_Toc16750"/>
      <w:bookmarkStart w:id="148" w:name="_Toc1010700831"/>
      <w:bookmarkStart w:id="149" w:name="_Toc1068514171"/>
      <w:bookmarkStart w:id="150" w:name="_Toc21275"/>
      <w:bookmarkStart w:id="151" w:name="_Toc183183349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建设粤港澳大湾区宜居宜业宜游新家园</w:t>
      </w:r>
      <w:bookmarkEnd w:id="144"/>
      <w:bookmarkEnd w:id="145"/>
      <w:bookmarkEnd w:id="146"/>
      <w:bookmarkEnd w:id="147"/>
      <w:bookmarkEnd w:id="148"/>
      <w:bookmarkEnd w:id="149"/>
      <w:bookmarkEnd w:id="150"/>
      <w:bookmarkEnd w:id="151"/>
    </w:p>
    <w:p w14:paraId="4F7ED05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加快</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宜居宜业宜游共同体，推动要素流动更加顺畅、服务共享更加便捷、生活体验更加优质。</w:t>
      </w:r>
    </w:p>
    <w:p w14:paraId="6855C44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持续优化宜居环境</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。深化民生领域融合，推进教育交流交往，搭建粤港澳校际合作平台，拓展姊妹学校合作网络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开展师生互访、课程共建等活动，提升教育协同水平。扩大社会服务共享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，聚焦社保、医疗、养老等民生高频领域，推动优质服务资源跨区域流动配置，</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完善长者医疗保障服务，积极争取扩大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香港长者医疗券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广东院舍照顾服务计划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覆盖范围，切实落实粤港澳养老医疗合作。深化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“港澳</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药械通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政策落地，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正大国健康复医院等机构发挥试点作用，推动更多港澳药品和医疗器械在肇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庆</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医疗机构使用。打造港澳国际化社区，建设粤港澳大湾区（肇庆）国际化社区居民服务中心，吸引更多港澳居民来肇安居乐业、休闲康养。</w:t>
      </w:r>
    </w:p>
    <w:p w14:paraId="58E306C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不断拓展宜业空间</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。积极参与技能人才国际化评价体系建设，推动港澳专业人才在内地便利执业，扩大执业资格互认范围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破除跨区域就业壁垒，吸引港澳优质人力资源集聚。持续优化港澳青年创新创业基地建设，落实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大湾区青年就业计划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等补贴政策，举办各类创新创业赛事交流活动，打造港澳青年志愿服务站，提供创新就业支持、政策咨询指引、法律咨询援助等贴心服务，吸引更多港澳青年来肇工作生活。</w:t>
      </w:r>
    </w:p>
    <w:p w14:paraId="657E0F7A">
      <w:pPr>
        <w:widowControl w:val="0"/>
        <w:kinsoku/>
        <w:overflowPunct w:val="0"/>
        <w:autoSpaceDE/>
        <w:autoSpaceDN/>
        <w:adjustRightInd/>
        <w:snapToGrid/>
        <w:spacing w:after="156" w:afterLines="50"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全面丰富宜游体验</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。主动承办国际体育赛事、文旅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活动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、行业峰会等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大型活动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，借力重大活动深化与大湾区城市互动，提升肇庆城市知名度与国际影响力。积极融入粤港澳大湾区文旅发展大局，充分运用240小时过境免签及港澳车辆北上等政策优势，深入开展跨境旅游推广合作，共同打造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端砚研学共同体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，推动文旅资源共享与品牌共建。与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广深港澳</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等重点旅游城市及景区景点建立客源互送机制，联动大湾区其他城市精心设计并推广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大湾区一程多站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精品旅游线路，着力构建与大湾区各城市深度融合发展的旅游市场体系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2DE1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71" w:type="dxa"/>
            <w:vAlign w:val="center"/>
          </w:tcPr>
          <w:p w14:paraId="0931483B">
            <w:pPr>
              <w:widowControl w:val="0"/>
              <w:kinsoku/>
              <w:overflowPunct w:val="0"/>
              <w:autoSpaceDE/>
              <w:autoSpaceDN/>
              <w:adjustRightInd/>
              <w:snapToGrid/>
              <w:spacing w:line="400" w:lineRule="exact"/>
              <w:jc w:val="center"/>
              <w:rPr>
                <w:rFonts w:ascii="Times New Roman" w:hAnsi="Times New Roman"/>
                <w:snapToGrid/>
                <w:color w:val="000000" w:themeColor="text1"/>
                <w:kern w:val="21"/>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0"/>
                <w:szCs w:val="30"/>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2</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十</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肇庆市全方位互联互通建设重点任务</w:t>
            </w:r>
          </w:p>
        </w:tc>
      </w:tr>
      <w:tr w14:paraId="0A111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071" w:type="dxa"/>
            <w:vAlign w:val="center"/>
          </w:tcPr>
          <w:p w14:paraId="04EC2C6F">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一、打造大湾区西部综合交通枢纽重点任务</w:t>
            </w:r>
          </w:p>
          <w:p w14:paraId="61A466F3">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参与建设</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大湾区“一小时交通圈”：增加肇庆至广州、深圳、香港、珠海等大湾区核心城市高铁班次，积极争取柳广铁路动工建设和启动肇顺南城际铁路前期研究工作。</w:t>
            </w:r>
          </w:p>
          <w:p w14:paraId="43AFE821">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共建大湾区江海联运体系：加强肇庆港与广州、深圳等枢纽港的合作及与南宁港、贵港港、梧州港等沿线内河港的合作联系，谋划新基湾疏港铁路等铁路专用线，发展多式联运，加速“江河物流”与“广货出海”无缝对接，提升</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发展</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连接大湾区、面向大西南的内河航运。</w:t>
            </w:r>
          </w:p>
          <w:p w14:paraId="4A608345">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3.积极参与建设粤港澳大湾区世界级机场群：全力配合广州新机场建设，推动肇庆城市干线与机场无缝衔接，推动怀集通用机场建设，谋划四会、德庆通用机场等通用机场布局。</w:t>
            </w:r>
          </w:p>
          <w:p w14:paraId="13BC61C8">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二、推进规则衔接机制对接重点事项</w:t>
            </w:r>
          </w:p>
          <w:p w14:paraId="0267C7D0">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深化与港澳在商事、金融、法律服务、标准制定等领域衔接合作。</w:t>
            </w:r>
          </w:p>
          <w:p w14:paraId="156105BB">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拓展“湾区标准”、“湾区认证”实施领域和采信应用场景，推动相关产品在大湾区便利通关。</w:t>
            </w:r>
          </w:p>
          <w:p w14:paraId="339FC648">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3.</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积极参与建设“信用湾区”，推动与港澳跨境信用标准化建设和互认工作。</w:t>
            </w:r>
          </w:p>
          <w:p w14:paraId="0DF9B99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4.</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优</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化肇庆—港澳跨境资金结算服务，提升跨境贸易投融资便利化水平。</w:t>
            </w:r>
          </w:p>
          <w:p w14:paraId="4ED8012A">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三、推进湾区居民“心联通”重点事项</w:t>
            </w:r>
          </w:p>
          <w:p w14:paraId="7EB9FE6B">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1.推动与港澳同胞交往交流交融，打造粤港澳大湾区（肇庆）青少年研学旅行营地，常态化举办各类粤港澳青年交流活动，推动港澳青少年来肇研学旅行。</w:t>
            </w:r>
          </w:p>
          <w:p w14:paraId="12E3FE10">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2.推出更多港澳居民便利化措施，推动港澳居民及随迁子女可同等享受教育、医疗、社保、养老等民生服务，吸引更多港澳居民来肇就业创业、旅居生活。</w:t>
            </w:r>
          </w:p>
          <w:p w14:paraId="739986F4">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3.打造粤港澳大湾区（肇庆）高端康养基地，加强与港澳优质养老机构交流合作，推动更多养老机构参与“广东院舍照顾服务计划”，</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积极争取</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扩大“香港长者医疗券”、“港澳药械通”覆盖范围，推进更多优质产品获得“湾区认证”。</w:t>
            </w:r>
          </w:p>
          <w:p w14:paraId="67222B7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推进政务服务</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湾区通办</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提质增效，全力实现企业群众办事减环节、减材料、少跑腿，不断增进民生获得感。</w:t>
            </w:r>
          </w:p>
          <w:p w14:paraId="1C1C0985">
            <w:pPr>
              <w:widowControl w:val="0"/>
              <w:kinsoku/>
              <w:overflowPunct w:val="0"/>
              <w:autoSpaceDE/>
              <w:autoSpaceDN/>
              <w:adjustRightInd/>
              <w:snapToGrid/>
              <w:spacing w:after="156" w:afterLines="50" w:line="40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5.</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持续加强与港澳</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有关机构</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沟通协作，共同探索更多创新服务模式，推动更多政务服务事项实现</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跨境通办</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tc>
      </w:tr>
    </w:tbl>
    <w:p w14:paraId="1C296DF8">
      <w:pPr>
        <w:pStyle w:val="3"/>
        <w:keepNext w:val="0"/>
        <w:keepLines w:val="0"/>
        <w:widowControl w:val="0"/>
        <w:numPr>
          <w:ilvl w:val="255"/>
          <w:numId w:val="0"/>
        </w:numPr>
        <w:kinsoku/>
        <w:overflowPunct w:val="0"/>
        <w:autoSpaceDE/>
        <w:autoSpaceDN/>
        <w:adjustRightInd/>
        <w:snapToGrid/>
        <w:spacing w:before="0" w:after="0" w:line="590" w:lineRule="exact"/>
        <w:jc w:val="both"/>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152" w:name="_Toc8964"/>
      <w:bookmarkStart w:id="153" w:name="_Toc25224"/>
      <w:bookmarkStart w:id="154" w:name="_Toc526163103"/>
      <w:bookmarkStart w:id="155" w:name="_Toc1662536405"/>
      <w:bookmarkStart w:id="156" w:name="_Toc471330455"/>
    </w:p>
    <w:p w14:paraId="4E32AA0B">
      <w:pPr>
        <w:widowControl w:val="0"/>
        <w:numPr>
          <w:ilvl w:val="255"/>
          <w:numId w:val="0"/>
        </w:numPr>
        <w:kinsoku/>
        <w:overflowPunct w:val="0"/>
        <w:autoSpaceDE/>
        <w:autoSpaceDN/>
        <w:adjustRightInd/>
        <w:snapToGrid/>
        <w:spacing w:line="590" w:lineRule="exact"/>
        <w:jc w:val="both"/>
        <w:textAlignment w:val="auto"/>
        <w:outlineLvl w:val="0"/>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pPr>
      <w:bookmarkStart w:id="157" w:name="_Toc16723"/>
      <w:bookmarkStart w:id="158" w:name="_Toc25315"/>
      <w:bookmarkStart w:id="159" w:name="_Toc144775202"/>
      <w:r>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br w:type="page"/>
      </w:r>
    </w:p>
    <w:p w14:paraId="0DF18F1E">
      <w:pPr>
        <w:pStyle w:val="3"/>
        <w:keepNext w:val="0"/>
        <w:keepLines w:val="0"/>
        <w:widowControl w:val="0"/>
        <w:numPr>
          <w:ilvl w:val="255"/>
          <w:numId w:val="0"/>
        </w:numPr>
        <w:kinsoku/>
        <w:overflowPunct w:val="0"/>
        <w:autoSpaceDE/>
        <w:autoSpaceDN/>
        <w:adjustRightInd/>
        <w:snapToGrid/>
        <w:spacing w:before="0" w:after="0" w:line="400" w:lineRule="exact"/>
        <w:jc w:val="both"/>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p>
    <w:p w14:paraId="2061F80D">
      <w:pPr>
        <w:pStyle w:val="3"/>
        <w:keepNext w:val="0"/>
        <w:keepLines w:val="0"/>
        <w:widowControl w:val="0"/>
        <w:numPr>
          <w:ilvl w:val="255"/>
          <w:numId w:val="0"/>
        </w:numPr>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第三章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加快建设现代化产业体系，打造</w:t>
      </w:r>
      <w:bookmarkEnd w:id="152"/>
      <w:bookmarkEnd w:id="153"/>
      <w:bookmarkStart w:id="160" w:name="_Toc6213"/>
      <w:bookmarkStart w:id="161" w:name="_Toc32381"/>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珠三角新增长极</w:t>
      </w:r>
      <w:bookmarkEnd w:id="154"/>
      <w:bookmarkEnd w:id="155"/>
      <w:bookmarkEnd w:id="156"/>
      <w:bookmarkEnd w:id="157"/>
      <w:bookmarkEnd w:id="158"/>
      <w:bookmarkEnd w:id="159"/>
      <w:bookmarkEnd w:id="160"/>
      <w:bookmarkEnd w:id="161"/>
    </w:p>
    <w:p w14:paraId="46C8105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p>
    <w:p w14:paraId="3DC55136">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坚持产业强市不动摇</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，坚持实体经济为本、制造业当家，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群链一体化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打造</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4</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个千亿元级</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若干个五百亿元级制造业产业集群</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大湾区西部制造新城。因地制宜发展新质生产力，</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提质发展现代服务业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做强产业平台载体</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加快构建现代化产业体系</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p>
    <w:p w14:paraId="7D9DAF21">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62" w:name="_Toc1389066195"/>
      <w:bookmarkStart w:id="163" w:name="_Toc1724393726"/>
      <w:bookmarkStart w:id="164" w:name="_Toc22054"/>
      <w:bookmarkStart w:id="165" w:name="_Toc445214648"/>
      <w:bookmarkStart w:id="166" w:name="_Toc13286"/>
      <w:bookmarkStart w:id="167" w:name="_Toc973937839"/>
      <w:bookmarkStart w:id="168" w:name="_Toc21471"/>
      <w:bookmarkStart w:id="169" w:name="_Toc1834413795"/>
      <w:bookmarkStart w:id="170" w:name="_Toc217425108"/>
      <w:bookmarkStart w:id="171" w:name="_Toc11603"/>
      <w:bookmarkStart w:id="172" w:name="_Toc12317"/>
      <w:bookmarkStart w:id="173" w:name="_Toc1608439463"/>
      <w:bookmarkStart w:id="174" w:name="_Toc454828087"/>
      <w:bookmarkStart w:id="175" w:name="_Toc195063201"/>
      <w:bookmarkStart w:id="176" w:name="_Toc1665232153"/>
      <w:bookmarkStart w:id="177" w:name="_Toc5573"/>
      <w:bookmarkStart w:id="178" w:name="_Toc364806745"/>
      <w:bookmarkStart w:id="179" w:name="_Toc26203"/>
      <w:bookmarkStart w:id="180" w:name="_Toc651"/>
      <w:bookmarkStart w:id="181" w:name="_Toc271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培育壮大主导产业</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0E83E2A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以产业集群化、高端化、绿色化为导向，聚焦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三新一电</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先进装备制造产业核心赛道，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突出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强链延链补链，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力争年度工业投资总额早日超千亿元。</w:t>
      </w:r>
    </w:p>
    <w:p w14:paraId="7DE6327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加强新能源汽车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及零部件制造</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产业强链延链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。依托肇庆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大旺新能源智能汽车产业城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等重点产业载体，深化整车、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三电</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系统、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汽车电子、</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智能网联部件等关键领域研发制造，攻坚产业链核心环节，打造成为一流的新能源汽车制造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地。支持建设大型产业集聚区新能源汽车核心部件供给地。结合肇庆生态优势打造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绿色智能汽车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品牌标签，强化产业品牌与质量建设。拓展产业链延伸环节，推动新能源汽车及零部件制造产业与软件服务、汽车后市场</w:t>
      </w:r>
      <w:r>
        <w:rPr>
          <w:rStyle w:val="29"/>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footnoteReference w:id="0"/>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服务深度融合。力争到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期末，新能源汽车及零部件制造产业产值突破1000亿元。</w:t>
      </w:r>
    </w:p>
    <w:p w14:paraId="710D28F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做大新一代电子信息产业集群</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龙头+配套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模式整合现有产业链条，重点发展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新型</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电子元器件、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半导体及集成电路、新型显示、</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消费电子终端等领域，发展壮大端州区新型电子元器件产业集群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谋划发展集成电路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，引进电子气体、光掩模等配套材料企业，逐步向封装测试等领域拓展，建设有区域影响力的电子元器件和电子材料研发生产基地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。促进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电子信息产业与数字经济深度融合，支持企业发展电子信息软件服务，开发智慧文旅管理系统、农业物联网平台、储能监控软件等。到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电子信息产业产值突破600亿元。</w:t>
      </w:r>
    </w:p>
    <w:p w14:paraId="2D31D7B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加快发展新材料产业。重点围绕化工新材料、纤维复合材料、特种陶瓷、稀土材料应用等产业领域，推动产业从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基础生产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高端定制+场景应用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转型。引导新材料产业跨行业应用，推动与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新能源</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汽车、装备制造、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、低空经济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等产业深度融合，建立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新材料研发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应用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协同机制，支持新材料企业与下游应用企业联合开展技术攻关。</w:t>
      </w:r>
    </w:p>
    <w:p w14:paraId="7B36F2B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促进新型储能与绿色能源产业发展</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。以共建珠江口西岸储能电池产业集聚区为引领，重点发展储能电池、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全钒液流电池、固态电池、</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储能系统集成、电池新材料、电池装备等领域。</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丰富光（储）充一体化、新型储能电站等规模化应用场景，加快建设肇庆高新区新型储能特色产业园。大力发展绿色能源产业，稳步推进分布式光伏、生物质发电、绿电氢（氨醇）项目落地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风光火水储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多能齐发的产业集群，巩固提升粤港澳大湾区（肇庆）绿色能源基地建设成效。力争到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期末，新型储能与绿色能源产业产值突破1000亿元。</w:t>
      </w:r>
    </w:p>
    <w:p w14:paraId="21DFDAE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加快发展先进装备制造产业。重点围绕汽车装备、电子装备、精密仪器设备、绿色能源装备等领域，强化产业链整合与协同，培育引进一批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企业，带动中小微企业围绕核心企业开展配套，构建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龙头引领、配套协同、创新驱动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的产业格局。推动先进装备制造产业智能化改造与数字化转型，支持企业建设智能工厂、数字化车间，推广工业互联网、5G、人工智能在生产制造中的应用。</w:t>
      </w:r>
    </w:p>
    <w:p w14:paraId="15ADE074">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82" w:name="_Toc291070685"/>
      <w:bookmarkStart w:id="183" w:name="_Toc561912011"/>
      <w:bookmarkStart w:id="184" w:name="_Toc21124"/>
      <w:bookmarkStart w:id="185" w:name="_Toc1498"/>
      <w:bookmarkStart w:id="186" w:name="_Toc18791"/>
      <w:bookmarkStart w:id="187" w:name="_Toc1760337517"/>
      <w:bookmarkStart w:id="188" w:name="_Toc774359234"/>
      <w:bookmarkStart w:id="189" w:name="_Toc19187"/>
      <w:bookmarkStart w:id="190" w:name="_Toc1476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优化提升传统产业</w:t>
      </w:r>
      <w:bookmarkEnd w:id="182"/>
      <w:bookmarkEnd w:id="183"/>
      <w:bookmarkEnd w:id="184"/>
      <w:bookmarkEnd w:id="185"/>
      <w:bookmarkEnd w:id="186"/>
      <w:bookmarkEnd w:id="187"/>
      <w:bookmarkEnd w:id="188"/>
      <w:bookmarkEnd w:id="189"/>
      <w:bookmarkEnd w:id="190"/>
    </w:p>
    <w:p w14:paraId="2B3B415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优化提升传统优势产业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，做强金属加工千亿元级产业集群，培育绿色矿山与建材千亿元级产业集群，加快壮大食品饮料产业集群，培育环保与资源循环产业集群。</w:t>
      </w:r>
    </w:p>
    <w:p w14:paraId="09E9597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壮大食品饮料</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与健康</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主动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对接大湾区消费市场，聚焦休闲食品、复合调味品、生鲜食材加工、功能饮料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、预制菜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等细分赛道，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支持高要区、肇庆高新区建设广东省食品工业培育试点区，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推动食品企业在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扩大布局、集聚发展。推动粤港澳大湾区肇庆（德庆）南药健康产业基地建设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加快</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布局大健康产品产业，做大健康食品、特色药食同源、特膳食品</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板块，</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延伸发展生物药</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医药器械等生物医药衍生品</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加快形成多品类协同发展的产业格局。</w:t>
      </w:r>
    </w:p>
    <w:p w14:paraId="5822BC3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创新发展绿色矿山与建材产业。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强化绿色</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矿山</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产业全产业链布局</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，重点对广宁县金矿、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德庆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县稀土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、封开</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县钼矿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、怀集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县多金属矿进行探采开发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加快推进粤港澳大湾区（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封开）绿色建材产业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园</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等平台建设，大力发展低碳零碳负碳建材新产品。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推动产业链布局与西江</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码头资源有效联动，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筑牢矿山与建材产业供应链基石。统筹做好矿产资源开发和生态环境保护，扎实推进“安全矿山”、“绿色矿山”建设，加快矿业绿色转型。“</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期间</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推动绿色矿山与建材产业产值规模突破</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1000</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亿元</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p>
    <w:p w14:paraId="37070D3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优化升级金属加工产业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。推动金属加工向精密铸造、消费级金属制品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转型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升级，聚焦新型工业用材、精密结构件等高附加值领域，发展先进铸造工艺，提高大型、小型铸件以及复杂的微型零件产品质量，服务汽车及机械领域。纵深推进五金、建材等传统产业的技术改造和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智改数转</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，发展智能制造、绿色制造、服务型制造。谋划建设金属新材料中试平台，推动高要区、四会市、肇庆高新区金属加工产业转型升级。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期间</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巩固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发展壮大</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金属加工产业千亿元级产业集群</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p>
    <w:p w14:paraId="2085C13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积极发展环保与资源循环产业。支持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华南</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再生资源产业园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电子信息产业园等园区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提质增效，实施园区集约化改造与绿色化升级。加快引进培育节能环保装备制造、再生关键材料研发等领域企业，支持企业联合科研院所攻关低能耗分选、高纯度再生材料制备等核心技术，推动产品从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低端加工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高附加值制造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跃升。</w:t>
      </w:r>
    </w:p>
    <w:p w14:paraId="208F1D0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加快推动玉器产业转型升级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引导四会市、广宁县规模化发展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玉器产业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，支持广宁县深化绿玉原料勘探开发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扩大四会市玉石原料常态化交易规模，建好建强四会市珠宝玉石电商产业园区，高标准建设玉器文化特色小镇，打造以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玉文化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旅游为特色，集玉器研发设计、生产加工、玉器交易、玉文化体验等一体的全产业链，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积极培育“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玉器+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商贸+旅游”</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新业态。擦亮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中国玉器之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牌，以文化赋能和标准输出为核心，对接港澳珠宝设计、品牌运营资源，打造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四会玉器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区域公共品牌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培育千亿级产业集群。</w:t>
      </w:r>
    </w:p>
    <w:p w14:paraId="22AE4851">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91" w:name="_Toc22577"/>
      <w:bookmarkStart w:id="192" w:name="_Toc101777914"/>
      <w:bookmarkStart w:id="193" w:name="_Toc25477"/>
      <w:bookmarkStart w:id="194" w:name="_Toc992479428"/>
      <w:bookmarkStart w:id="195" w:name="_Toc29902"/>
      <w:bookmarkStart w:id="196" w:name="_Toc291477073"/>
      <w:bookmarkStart w:id="197" w:name="_Toc1846038513"/>
      <w:bookmarkStart w:id="198" w:name="_Toc6171"/>
      <w:bookmarkStart w:id="199" w:name="_Toc1410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实施未来产业培育发展行动</w:t>
      </w:r>
      <w:bookmarkEnd w:id="191"/>
      <w:bookmarkEnd w:id="192"/>
      <w:bookmarkEnd w:id="193"/>
      <w:bookmarkEnd w:id="194"/>
      <w:bookmarkEnd w:id="195"/>
      <w:bookmarkEnd w:id="196"/>
      <w:bookmarkEnd w:id="197"/>
      <w:bookmarkEnd w:id="198"/>
      <w:bookmarkEnd w:id="199"/>
    </w:p>
    <w:p w14:paraId="6CCB874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探索多元技术路线、典型应用场景、可行商业模式等，谋划建设未来产业集聚区。</w:t>
      </w:r>
    </w:p>
    <w:p w14:paraId="3608545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培育人工智能与机器人产业。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大力引育机器人生产制造端和人工智能研发应用端项目，打造从关键原材料、精密零部件到整机制造的垂直供应链，实现从汽车制造地向特色化机器人产业高地</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的战略性延伸</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。构建“一核引领，多点协同，全链贯通”的产业发展格局，以大型产业集聚区为核心引领及载体统筹，鼎湖</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（肇庆新区）、端州</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、四会</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市</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和高要</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多点协同，</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带动</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广宁</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、德庆</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、封开</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和怀集</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，共同打造人工智能与机器人全链生态。</w:t>
      </w:r>
    </w:p>
    <w:p w14:paraId="3603653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加快发展</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低空经济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产业。加快推进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一中心、两基地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建设，打造粤港澳大湾区（肇庆）低空测试、培训、应用服务基地。</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引进和培育无人机、eVTOL、飞行汽车、新能源通用航空平台等先进整机制造项目。</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有序</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拓展低空经济应用场景，拓宽低空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航空器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生产作业、低空运输、公共治理、低空消费</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等领域的应用，开发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低空文旅、低空物流、低空救援</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等应用场景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，加快突破</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公共配送等领域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加快布局起降点网络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推进直升机临时起降点和无人机起降设施布局建设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，强化低空产业发展支撑</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0C4EEFE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积极发展低碳能源产业。推动电化学储能与燃气轮机发电协同发展，重点突破高温熔盐储能材料与装备一体化技术，支撑瑞庆时代二阶段工程达产达效，</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推动广东重型燃气轮机示范（试验）基地项目稳步落地，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形成“燃气发电+储能调峰”的低碳能源供给模式。拓展氢能、生物质能等多元赛道，布局生物质发电与生物天然气项目。</w:t>
      </w:r>
    </w:p>
    <w:p w14:paraId="60DC7BF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谋划发展</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未来</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材料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产业。依托新能源储能、碳材料领域先发优势，以“补链强链延链”为主线，</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发展高温熔盐储能材料</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新能源汽车用材料、高端</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竹基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碳材料等领域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，瞄准超导材料、新一代生物医用材料等未来方向，开发可降解医用敷料、组织工程支架等产品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。引进培育特种功能材料企业，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力争在低温超导线缆、高温超导器件领域形成技术储备。</w:t>
      </w:r>
    </w:p>
    <w:p w14:paraId="3ADC53B0">
      <w:pPr>
        <w:widowControl w:val="0"/>
        <w:kinsoku/>
        <w:overflowPunct w:val="0"/>
        <w:autoSpaceDE/>
        <w:autoSpaceDN/>
        <w:adjustRightInd/>
        <w:snapToGrid/>
        <w:spacing w:after="156" w:afterLines="50" w:line="590" w:lineRule="exact"/>
        <w:ind w:firstLine="640" w:firstLineChars="200"/>
        <w:jc w:val="both"/>
        <w:textAlignment w:val="auto"/>
        <w:rPr>
          <w:rFonts w:ascii="Times New Roman" w:hAnsi="Times New Roman" w:eastAsia="仿宋_GB2312"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择期发展</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生物制造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第六代移动通信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等未来</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。立足肇庆生物医药产业基础，重点发展生物基材料、生物制药、绿色农用生物制品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等领域。</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抢抓6G技术研发与产业布局窗口期，依托肇庆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 xml:space="preserve">电子信息产业集群基础，构建 </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协同研发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场景应用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产业配套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发展模式。</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0E2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9071" w:type="dxa"/>
            <w:vAlign w:val="center"/>
          </w:tcPr>
          <w:p w14:paraId="0400C8D1">
            <w:pPr>
              <w:widowControl w:val="0"/>
              <w:kinsoku/>
              <w:overflowPunct w:val="0"/>
              <w:autoSpaceDE/>
              <w:autoSpaceDN/>
              <w:snapToGrid/>
              <w:spacing w:line="400" w:lineRule="exact"/>
              <w:jc w:val="center"/>
              <w:rPr>
                <w:rFonts w:ascii="Times New Roman" w:hAnsi="Times New Roman"/>
                <w:snapToGrid/>
                <w:color w:val="000000" w:themeColor="text1"/>
                <w:kern w:val="21"/>
                <w14:textFill>
                  <w14:solidFill>
                    <w14:schemeClr w14:val="tx1"/>
                  </w14:solidFill>
                </w14:textFill>
              </w:rPr>
            </w:pPr>
            <w:r>
              <w:rPr>
                <w:rFonts w:ascii="Times New Roman" w:hAnsi="Times New Roman" w:eastAsia="方正小标宋简体" w:cs="Times New Roman"/>
                <w:snapToGrid/>
                <w:color w:val="000000" w:themeColor="text1"/>
                <w:kern w:val="21"/>
                <w:sz w:val="30"/>
                <w:szCs w:val="30"/>
                <w14:textFill>
                  <w14:solidFill>
                    <w14:schemeClr w14:val="tx1"/>
                  </w14:solidFill>
                </w14:textFill>
              </w:rPr>
              <w:t>专栏</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3：</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w:t>
            </w:r>
            <w:r>
              <w:rPr>
                <w:rFonts w:hint="eastAsia" w:ascii="Times New Roman" w:hAnsi="Times New Roman" w:eastAsia="方正小标宋_GBK" w:cs="方正小标宋_GBK"/>
                <w:snapToGrid/>
                <w:color w:val="000000" w:themeColor="text1"/>
                <w:kern w:val="21"/>
                <w:sz w:val="30"/>
                <w:szCs w:val="30"/>
                <w14:textFill>
                  <w14:solidFill>
                    <w14:schemeClr w14:val="tx1"/>
                  </w14:solidFill>
                </w14:textFill>
              </w:rPr>
              <w:t>十五五</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w:t>
            </w:r>
            <w:r>
              <w:rPr>
                <w:rFonts w:hint="eastAsia" w:ascii="Times New Roman" w:hAnsi="Times New Roman" w:eastAsia="方正小标宋_GBK" w:cs="方正小标宋_GBK"/>
                <w:snapToGrid/>
                <w:color w:val="000000" w:themeColor="text1"/>
                <w:kern w:val="21"/>
                <w:sz w:val="30"/>
                <w:szCs w:val="30"/>
                <w14:textFill>
                  <w14:solidFill>
                    <w14:schemeClr w14:val="tx1"/>
                  </w14:solidFill>
                </w14:textFill>
              </w:rPr>
              <w:t>时期肇庆</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市</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制造业</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产业</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发展重点方向</w:t>
            </w:r>
          </w:p>
        </w:tc>
      </w:tr>
      <w:tr w14:paraId="6DB6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605586CC">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一、主导产业</w:t>
            </w:r>
          </w:p>
          <w:p w14:paraId="7705A352">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1.新能源汽车及零部件制造产业：重点发展整车制造、</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三电</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系统、</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汽车电子、轻量化及</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智能网联</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部件</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等领域。</w:t>
            </w:r>
          </w:p>
          <w:p w14:paraId="271AD292">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2.新一代电子信息产业：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重点发展新型电子元器件、半导体及集成电路、新型显示、消费电子等领域。</w:t>
            </w:r>
          </w:p>
          <w:p w14:paraId="570C0E31">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3.新材料产业：重点发展化工新材料、纤维复合材料、特种陶瓷、稀土材料应用等产业领域</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14DA3435">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4.新型储能与绿色能源产业：重点发展储能电池、全钒液流电池、固态电池、储能系统集成、电池新材料、电池装备</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、绿色能源开发与利用</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等领域</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660D8C77">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5.先进装备制造产业：重点发展汽车装备、精密仪器设备、绿色能源装备等领域</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1AE607A0">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二、传统产业</w:t>
            </w:r>
          </w:p>
          <w:p w14:paraId="4CF33014">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食品饮料</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与健康</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产业：重点发展食品制造、复合调味品、农副产品加工、预制菜和高端饮用水、功能饮料、茶饮料等水饮料产业，重点培育中药产业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，建设国家级南药市场。</w:t>
            </w:r>
          </w:p>
          <w:p w14:paraId="0D60E8F6">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绿色矿山与建材产业：重点发展矿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产</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资源开采、骨料与机制砂、高端水泥制品、新型建材（装配式建筑构件、绿色混凝土、节能墙体材料等）、智能家居等领域</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6F0ED1C2">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金</w:t>
            </w:r>
            <w:r>
              <w:rPr>
                <w:rFonts w:ascii="Times New Roman" w:hAnsi="Times New Roman" w:eastAsia="方正仿宋_GBK" w:cs="Times New Roman"/>
                <w:snapToGrid/>
                <w:color w:val="000000" w:themeColor="text1"/>
                <w:spacing w:val="6"/>
                <w:kern w:val="21"/>
                <w:sz w:val="28"/>
                <w:szCs w:val="28"/>
                <w:lang w:eastAsia="zh-Hans"/>
                <w14:textFill>
                  <w14:solidFill>
                    <w14:schemeClr w14:val="tx1"/>
                  </w14:solidFill>
                </w14:textFill>
              </w:rPr>
              <w:t>属加工产业：重点发展有色金属、优强钢材、新型金属材料等领域</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w:t>
            </w:r>
          </w:p>
          <w:p w14:paraId="7DA7247E">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.环保与资源循环产业：推动节能环保、资源循环利用等领域高端化、智能化、绿色化发展。</w:t>
            </w:r>
          </w:p>
          <w:p w14:paraId="2037498C">
            <w:pPr>
              <w:widowControl w:val="0"/>
              <w:kinsoku/>
              <w:overflowPunct w:val="0"/>
              <w:autoSpaceDE/>
              <w:autoSpaceDN/>
              <w:adjustRightInd/>
              <w:snapToGrid/>
              <w:spacing w:after="156" w:afterLines="50"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5.玉器产业：重点发展原石交易、数字化转型、高端化升级、品牌化塑造、文旅融合、产教融合等领域，加快四会</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珠宝玉石电商产业园区、玉器文化特色小镇等项目建设，积极培育“玉器+文化+商贸+旅游”新业态，打造千亿级产业集群。</w:t>
            </w:r>
          </w:p>
          <w:p w14:paraId="49AA4613">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三、未来产业</w:t>
            </w:r>
          </w:p>
          <w:p w14:paraId="5E9D05C6">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人工智能与机器人产业：重点发展工业机器人、服务机器人等领域。支持肇庆高新区大力发展高精度工业机器人、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东部城区谋划</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建设人工智能（肇庆）产业园、</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打造人形机器人规模制造地和场景应用区。加快智能人机交互、多自由度精准控制服务机器人的应用推广，加快抢险救灾等特种机器人研发生产。</w:t>
            </w:r>
          </w:p>
          <w:p w14:paraId="7D4EC5B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.低空经济产业：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重点发展低空飞行器整机制造、低空飞行器零部件制造、低空物流、低空应急、低空测试服务、低空文旅等领域。</w:t>
            </w:r>
          </w:p>
          <w:p w14:paraId="2187E655">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3.低碳能源产业：支撑瑞庆时代二阶段工程达产达效，推动广东重型燃气轮机示范（试验）基地项目稳步落地。</w:t>
            </w:r>
          </w:p>
          <w:p w14:paraId="3DAA0AC1">
            <w:pPr>
              <w:widowControl w:val="0"/>
              <w:kinsoku/>
              <w:overflowPunct w:val="0"/>
              <w:autoSpaceDE/>
              <w:autoSpaceDN/>
              <w:adjustRightInd/>
              <w:snapToGrid/>
              <w:spacing w:after="156" w:afterLines="50" w:line="400" w:lineRule="exact"/>
              <w:ind w:firstLine="560" w:firstLineChars="200"/>
              <w:jc w:val="both"/>
              <w:rPr>
                <w:rFonts w:ascii="Times New Roman" w:hAnsi="Times New Roman" w:eastAsia="宋体"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4.未来</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材料产业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：储能与新能源汽车车用材料领域，聚焦高能量密度电芯材料、长寿命电池隔膜、轻量化车身材料三大方向；拓展高端碳材料、绿色功能材料等领域，发展低能耗建筑材料、可降解包装材料。</w:t>
            </w:r>
          </w:p>
        </w:tc>
      </w:tr>
    </w:tbl>
    <w:p w14:paraId="7071D4C2">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00" w:name="_Toc401256367"/>
      <w:bookmarkStart w:id="201" w:name="_Toc9622"/>
      <w:bookmarkStart w:id="202" w:name="_Toc1417332949"/>
      <w:bookmarkStart w:id="203" w:name="_Toc1605670008"/>
      <w:bookmarkStart w:id="204" w:name="_Toc1236444943"/>
      <w:bookmarkStart w:id="205" w:name="_Toc7758"/>
      <w:bookmarkStart w:id="206" w:name="_Toc1462258466"/>
      <w:bookmarkStart w:id="207" w:name="_Toc18634"/>
      <w:bookmarkStart w:id="208" w:name="_Toc5883"/>
      <w:bookmarkStart w:id="209" w:name="_Toc17381"/>
      <w:bookmarkStart w:id="210" w:name="_Toc18747"/>
      <w:bookmarkStart w:id="211" w:name="_Toc2104042669"/>
      <w:bookmarkStart w:id="212" w:name="_Toc1303892654"/>
      <w:bookmarkStart w:id="213" w:name="_Toc25184"/>
      <w:bookmarkStart w:id="214" w:name="_Toc1406652784"/>
      <w:bookmarkStart w:id="215" w:name="_Toc5487"/>
      <w:bookmarkStart w:id="216" w:name="_Toc7500"/>
      <w:bookmarkStart w:id="217" w:name="_Toc904976720"/>
      <w:bookmarkStart w:id="218" w:name="_Toc1307177454"/>
      <w:bookmarkStart w:id="219" w:name="_Toc17364116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加快发展现代服务业</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14:paraId="2BF4D8A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实施服务业扩能提质行动，围绕优势制造业补齐生产性服务业短板，推动生活性服务业向高品质、多样化、便利化发展。</w:t>
      </w:r>
    </w:p>
    <w:p w14:paraId="758D84A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重点发展生产性服务业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增强生产性服务业供给对制造业转型升级的适配性，推动生产性服务业向专业化、高端化、国际化方向迈进，打造一批特色鲜明的生产性服务业集聚区。大力发展现代物流服务，推动物流业与一二三产业融合发展，构建以制造业物流、农产品物流、商贸物流为主线的物流体系。培育发展科技服务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聚焦研究开发、创业孵化、技术转移、成果转化、信息技术、知识产权等服务领域，深化科技、产业、金融融合，建设一批共性技术研发平台、技术转移转化平台和工业互联网平台，推广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技术入股贷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创新积分贷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等科技金融创新，围绕知识产权、生态权益和农业设施等重点扩大抵质押物范围，扩大知识产权质押融资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受惠面</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。发展人力资源服务业，着力打造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一园多区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人力资源产业园服务体系，发展人才招聘、职业培训、劳务派遣、共享用工等灵活就业服务平台。</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培育知识密集型专业服务业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，积极引入港澳第三方专业服务机构，培育壮大法律、会计、税务、咨询等专业服务机构。鼓励发展产业规划咨询、园区运营服务、供应链管理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、工业设备租赁</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等特色业态。</w:t>
      </w:r>
    </w:p>
    <w:p w14:paraId="581C592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大力发展会展经济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会展活动核心载体，完善展馆、交通、酒店等配套，提升举办和承接大型展会能力。强化产业联动，围绕新能源汽车、汽车零部件、五金建材、电子信息、食品饮料、农产品等优势产业，谋划专业性、周期性展会。深化区域协同，主动对接周边会展核心城市，承接溢出展会资源，联合打造区域会展品牌，实现差异化互补发展。加强与行业协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企业合作，引入品牌展会资源，争取全国性、国际性展会活动落户，提升会展能级，积极打造“专展肇会”品牌。</w:t>
      </w:r>
    </w:p>
    <w:p w14:paraId="27B62EC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提升发展生活服务业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满足人民高品质生活需求为导向，推动生活性服务业提质扩容、融合创新。持续做强商圈经济，加快发展首发经济、绿色消费，积极引进品牌首店、概念店。补齐高质量商务配套短板，推动一批中高端酒店项目落地。创新发展健康服务业，完善医疗服务、健康管理与促进、健康保险等服务体系，支持面向老年人的健康管理、养生保健、健身休闲等业态深度融合。巩固提升家政服务业，打造推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南粤家政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肇庆管家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品牌，增加家政服务供给。大力发展家政电商、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互联网+家政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等新业态。探索发展网红经济、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平台</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宠物经济、互联网经济、</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楼宇经济、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演唱会经济、</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票根经济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、人文经济</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等新经济新业态。</w:t>
      </w:r>
    </w:p>
    <w:p w14:paraId="7EFDD15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健全服务业发展体制机制。强化品牌培育与推广，聚焦物流、家政、文旅、健康等优势领域，打造一批具有区域影响力的肇庆服务品牌，鼓励企业参与服务业国家标准、行业标准制定。创新监管模式，构建包容审慎、协同高效的服务业监管体系，运用大数据、人工智能等技术推进智慧监管，规范市场秩序。建立健全服务质量评价体系，畅通消费者维权渠道，提升服务质量水平。强化行业自律，支持成立物流、会展、健康等行业协会，推动行业制定自律公约，引导企业诚信经营、规范发展。加强行业协会与政府部门的沟通协调，搭建政企对接桥梁，营造公平竞争、优质高效的服务业发展环境。</w:t>
      </w:r>
    </w:p>
    <w:p w14:paraId="32F47E21">
      <w:pPr>
        <w:pStyle w:val="8"/>
        <w:widowControl w:val="0"/>
        <w:kinsoku/>
        <w:overflowPunct w:val="0"/>
        <w:autoSpaceDE/>
        <w:autoSpaceDN/>
        <w:rPr>
          <w:rFonts w:ascii="Times New Roman" w:hAnsi="Times New Roman"/>
          <w:snapToGrid/>
          <w:color w:val="000000" w:themeColor="text1"/>
          <w:kern w:val="21"/>
          <w:lang w:eastAsia="zh-Hans"/>
          <w14:textFill>
            <w14:solidFill>
              <w14:schemeClr w14:val="tx1"/>
            </w14:solidFill>
          </w14:textFill>
        </w:r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3952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71" w:type="dxa"/>
            <w:vAlign w:val="center"/>
          </w:tcPr>
          <w:p w14:paraId="78C69003">
            <w:pPr>
              <w:widowControl w:val="0"/>
              <w:kinsoku/>
              <w:overflowPunct w:val="0"/>
              <w:autoSpaceDE/>
              <w:autoSpaceDN/>
              <w:adjustRightInd/>
              <w:snapToGrid/>
              <w:spacing w:line="500" w:lineRule="exact"/>
              <w:jc w:val="center"/>
              <w:rPr>
                <w:rFonts w:ascii="Times New Roman" w:hAnsi="Times New Roman"/>
                <w:snapToGrid/>
                <w:color w:val="000000" w:themeColor="text1"/>
                <w:kern w:val="21"/>
                <w:sz w:val="28"/>
                <w:szCs w:val="28"/>
                <w14:textFill>
                  <w14:solidFill>
                    <w14:schemeClr w14:val="tx1"/>
                  </w14:solidFill>
                </w14:textFill>
              </w:rPr>
            </w:pPr>
            <w:r>
              <w:rPr>
                <w:rFonts w:ascii="Times New Roman" w:hAnsi="Times New Roman" w:eastAsia="方正小标宋简体" w:cs="Times New Roman"/>
                <w:snapToGrid/>
                <w:color w:val="000000" w:themeColor="text1"/>
                <w:kern w:val="21"/>
                <w:sz w:val="30"/>
                <w:szCs w:val="30"/>
                <w14:textFill>
                  <w14:solidFill>
                    <w14:schemeClr w14:val="tx1"/>
                  </w14:solidFill>
                </w14:textFill>
              </w:rPr>
              <w:t>专栏</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4：</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“十五五”时期肇庆市现</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代服务业重点项目</w:t>
            </w:r>
          </w:p>
        </w:tc>
      </w:tr>
      <w:tr w14:paraId="5CB03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0" w:hRule="atLeast"/>
          <w:jc w:val="center"/>
        </w:trPr>
        <w:tc>
          <w:tcPr>
            <w:tcW w:w="9071" w:type="dxa"/>
          </w:tcPr>
          <w:p w14:paraId="03EE210E">
            <w:pPr>
              <w:pStyle w:val="8"/>
              <w:widowControl w:val="0"/>
              <w:kinsoku/>
              <w:overflowPunct w:val="0"/>
              <w:autoSpaceDE/>
              <w:autoSpaceDN/>
              <w:adjustRightInd/>
              <w:snapToGrid/>
              <w:spacing w:before="156" w:beforeLines="50" w:after="0" w:line="43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一、生产性服务业</w:t>
            </w:r>
          </w:p>
          <w:p w14:paraId="36A098AB">
            <w:pPr>
              <w:pStyle w:val="8"/>
              <w:widowControl w:val="0"/>
              <w:kinsoku/>
              <w:overflowPunct w:val="0"/>
              <w:autoSpaceDE/>
              <w:autoSpaceDN/>
              <w:adjustRightInd/>
              <w:snapToGrid/>
              <w:spacing w:after="0" w:line="43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端州区：端州区数字经济服务中心项目、端州区低空经济基础设施提升项目、白云电气再制造材料仓储物流交易平台项目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4A174ED9">
            <w:pPr>
              <w:pStyle w:val="8"/>
              <w:widowControl w:val="0"/>
              <w:kinsoku/>
              <w:overflowPunct w:val="0"/>
              <w:autoSpaceDE/>
              <w:autoSpaceDN/>
              <w:adjustRightInd/>
              <w:snapToGrid/>
              <w:spacing w:after="0" w:line="43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鼎湖区：希音湾区西部智慧产业园。</w:t>
            </w:r>
          </w:p>
          <w:p w14:paraId="445E13E0">
            <w:pPr>
              <w:pStyle w:val="8"/>
              <w:widowControl w:val="0"/>
              <w:kinsoku/>
              <w:overflowPunct w:val="0"/>
              <w:autoSpaceDE/>
              <w:autoSpaceDN/>
              <w:adjustRightInd/>
              <w:snapToGrid/>
              <w:spacing w:after="0" w:line="43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高要区：横江产业园现代物流中心项目、肉桂产业集群申报及创建项目、活道大米产业项目、新桥洋篮特色产业项目。</w:t>
            </w:r>
          </w:p>
          <w:p w14:paraId="6B6BF5C8">
            <w:pPr>
              <w:pStyle w:val="8"/>
              <w:widowControl w:val="0"/>
              <w:kinsoku/>
              <w:overflowPunct w:val="0"/>
              <w:autoSpaceDE/>
              <w:autoSpaceDN/>
              <w:adjustRightInd/>
              <w:snapToGrid/>
              <w:spacing w:after="0" w:line="43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四会市：四会大沙物流枢纽港—产业协作工程</w:t>
            </w:r>
            <w:r>
              <w:rPr>
                <w:rFonts w:ascii="Times New Roman" w:hAnsi="Times New Roman" w:eastAsia="方正仿宋_GBK"/>
                <w:snapToGrid/>
                <w:color w:val="000000" w:themeColor="text1"/>
                <w:kern w:val="21"/>
                <w:sz w:val="28"/>
                <w:szCs w:val="28"/>
                <w:lang w:eastAsia="zh-CN"/>
                <w14:textFill>
                  <w14:solidFill>
                    <w14:schemeClr w14:val="tx1"/>
                  </w14:solidFill>
                </w14:textFill>
              </w:rPr>
              <w:t>项目</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、四会市城市全域数字化转型升级项目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2E7B36B1">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广宁县：</w:t>
            </w:r>
            <w:r>
              <w:rPr>
                <w:rFonts w:ascii="Times New Roman" w:hAnsi="Times New Roman" w:eastAsia="方正仿宋_GBK"/>
                <w:snapToGrid/>
                <w:color w:val="000000" w:themeColor="text1"/>
                <w:kern w:val="21"/>
                <w:sz w:val="28"/>
                <w:szCs w:val="28"/>
                <w:lang w:eastAsia="zh-CN"/>
                <w14:textFill>
                  <w14:solidFill>
                    <w14:schemeClr w14:val="tx1"/>
                  </w14:solidFill>
                </w14:textFill>
              </w:rPr>
              <w:t>晟茂优选（广宁）基地暨食品加工和</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智慧冷链物流京东云仓项目、广宁县竹产业高质量发展项目。</w:t>
            </w:r>
          </w:p>
          <w:p w14:paraId="150FA278">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德庆县：德庆工业物流园、德庆县农产品质量安全监督检测中心。</w:t>
            </w:r>
          </w:p>
          <w:p w14:paraId="4EF11714">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封开县：封开县产业园冷链物流仓库及基础设施项目。</w:t>
            </w:r>
          </w:p>
          <w:p w14:paraId="54A0BB79">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怀集县：粤港澳大湾区</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（怀集）集散基地物流仓储园区项目、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粤港澳大湾区肇庆（怀集）绿色农副产品集散基地大西南农副产品云仓基地项目</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w:t>
            </w:r>
          </w:p>
          <w:p w14:paraId="02C163A9">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肇庆高新区：</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高新区跨境电商选品中心项目、肇庆高新区中心服务区麒麟湖金融中心、</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高新区“智慧云仓”项目。</w:t>
            </w:r>
          </w:p>
          <w:p w14:paraId="57DBD5FA">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粤桂合作特别试验区（肇庆）：粤港澳大湾区西部物流枢纽零碳智慧冷链配套项目、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鼎湖莲花—富溪市管起步区项目（二期）、</w:t>
            </w:r>
            <w:r>
              <w:rPr>
                <w:rFonts w:ascii="Times New Roman" w:hAnsi="Times New Roman" w:eastAsia="方正仿宋_GBK"/>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再生水利用项目、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科创中心项目。</w:t>
            </w:r>
          </w:p>
          <w:p w14:paraId="60E9010F">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二、生活性服务业</w:t>
            </w:r>
          </w:p>
          <w:p w14:paraId="7A0918C6">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端州区：端州区体育公园项目、端州区水经济发展项目、端州区智慧养老服务配套设施项目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5907548A">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鼎湖区：砚阳湖景区体育公园</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1BC5A26D">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高要区：金利医养结合颐养院项目、金钟山景区至简森舍禅意温泉酒店、活道抱绿山庄民宿项目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147AE0B3">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四会市：四会市蓝湖湾特色体育运动旅游综合体项目（一期）、四会市威整镇漂流项目、四会市绥江古邑碧道画廊项目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2008DA1E">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广宁县：三鸟批发交易市场项目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4C64A5E5">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德庆县：盘龙峡漂流温泉度假区、龙母大剧院、德庆县小型汽车考场项目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4FB124F1">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封开县：封开县贺江碧道画廊提质增效项目、封开县龙华国际酒店商业综合体项目、封开县古城开发保护利用项目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694285B3">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怀集县：怀集县幸福街道怀高商业综合体项目、怀集屠宰产业园生活配套项目、怀集县历史文化街区改造项目、中洲河文旅·趣野公园项目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24EF6536">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肇庆高新区：肇庆高新区龙湖以东天迳山五星级酒店、商业住宅、文旅休闲项目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p>
          <w:p w14:paraId="55260118">
            <w:pPr>
              <w:pStyle w:val="8"/>
              <w:widowControl w:val="0"/>
              <w:kinsoku/>
              <w:overflowPunct w:val="0"/>
              <w:autoSpaceDE/>
              <w:autoSpaceDN/>
              <w:adjustRightInd/>
              <w:snapToGrid/>
              <w:spacing w:after="0" w:line="420" w:lineRule="exact"/>
              <w:ind w:firstLine="560" w:firstLineChars="200"/>
              <w:jc w:val="both"/>
              <w:rPr>
                <w:rFonts w:ascii="Times New Roman" w:hAnsi="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粤桂合作特别试验区（肇庆）：</w:t>
            </w:r>
            <w:r>
              <w:rPr>
                <w:rFonts w:ascii="Times New Roman" w:hAnsi="Times New Roman" w:eastAsia="方正仿宋_GBK"/>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综合性商业体项目、肇庆市中心城区建筑垃圾集中资源化利用项目。</w:t>
            </w:r>
          </w:p>
        </w:tc>
      </w:tr>
    </w:tbl>
    <w:p w14:paraId="2A6B6B88">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20" w:name="_Toc20704"/>
      <w:bookmarkStart w:id="221" w:name="_Toc800980968"/>
      <w:bookmarkStart w:id="222" w:name="_Toc14984"/>
      <w:bookmarkStart w:id="223" w:name="_Toc2457"/>
      <w:bookmarkStart w:id="224" w:name="_Toc922306743"/>
      <w:bookmarkStart w:id="225" w:name="_Toc1253846287"/>
      <w:bookmarkStart w:id="226" w:name="_Toc30856"/>
      <w:bookmarkStart w:id="227" w:name="_Toc76506157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打造高水平产业发展</w:t>
      </w:r>
      <w:bookmarkEnd w:id="22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载体</w:t>
      </w:r>
      <w:bookmarkEnd w:id="221"/>
      <w:bookmarkEnd w:id="222"/>
      <w:bookmarkEnd w:id="223"/>
      <w:bookmarkEnd w:id="224"/>
      <w:bookmarkEnd w:id="225"/>
      <w:bookmarkEnd w:id="226"/>
      <w:bookmarkEnd w:id="227"/>
    </w:p>
    <w:p w14:paraId="31036B0B">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持</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园区为母</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导向，实施</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大平台</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提质赋能行动，充分发挥大型产业集聚区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肇庆高新区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、肇庆新区“</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三大园区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主引擎作用，构建各县（市、区）一园多区、主业鲜明的发展格局。</w:t>
      </w:r>
    </w:p>
    <w:p w14:paraId="7D67811B">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高标准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推进大型产业集聚区建设。积极承接粤港澳大湾区智能网联新能源汽车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及零部件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、新型储能、新一代电子信息、高端装备制造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先进材料、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低空经济、创新药和创新医疗器械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数智技术制造、人工智能和机器人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等相关领域高</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制造业和创新资源要素。积极推进市管起步区扩容提质与协同发展，扩片开发肇庆东进产业园，规划建设大沙绥江片区、金渡紫云片区。在产业链关键环节严格</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秉持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高起点、高定位引育企业，精准招引产业链核心环节优质项目，促进产业向价值链中高端跃升，将大型产业集聚区建设成为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先进制造业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新增长极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73FEE014">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推动肇庆高新区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提质进位</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建设，以盘活存量用地、招引高产值高税收项目为核心抓手，确保土地资源向优质项目集中。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推进新型工业化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区内产业优化升级，增强西江实验室等创新平台发展实力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，引进一批投资规模大、技术含量高、税收贡献突出的旗舰型项目，推动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新能源汽车、新型储能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产业迈入全球价值链中高端，跨境电商、数字经济等迈向更高水平，加快建成粤港澳大湾区工业科技新城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。加快打造华南跨境电商货物集散中心</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做强肇庆大旺跨境电商国际货站</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等项目，引育更多跨境电商核心企业，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强化肇庆东部板块跨境电商供应链枢纽功能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6056B052">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推动肇庆砚阳湖高新区建设。纵深推进肇庆新区、鼎湖区两区融合，加快打造中央商务区，积极引进培育总部经济、现代金融、高端商务、数字服务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、文化旅游、体育赛事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等现代服务业业态。以统筹推进新型工业化和城镇化为抓手，深化产业项目、基础设施、公共服务等共建共享，加快产业园区扩容提质，以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强链补链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完善产业生态。持续优化城市形态、提升城市功能，聚焦教育、医疗、住房、园林绿化等民生服务领域，推动形成产城深度融合发展格局，打造肇庆高质量发展新高地。</w:t>
      </w:r>
    </w:p>
    <w:p w14:paraId="217F2327">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动</w:t>
      </w:r>
      <w:r>
        <w:rPr>
          <w:rFonts w:hint="eastAsia"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产业园区</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提质</w:t>
      </w:r>
      <w:r>
        <w:rPr>
          <w:rFonts w:hint="eastAsia"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升级</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。引导各县（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市、区</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）园区立足自身产业基础，聚焦产业特色和优势，坚持差异化、精细化、高端化、绿色化原则，发展特色园区。推动园区产业链配套，强化优质企业梯次培育能力。推动省级经开区开放提质</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聚焦建设主导产业，加快优质项目导入，加大力度培育产业链供应链关键企业。深化园区管理体制机制创新，完善推广</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管委会+国有开发公司</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机制和滚动开发模式</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，健全园区“一站式”</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企业</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综合服务平台</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，提升市场化运营和</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造血</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能力</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加强园区创新平台、人才支撑、要素保障等体系建设，提升园区综合承载力与发展能级。</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0CB2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9071" w:type="dxa"/>
            <w:vAlign w:val="center"/>
          </w:tcPr>
          <w:p w14:paraId="46274128">
            <w:pPr>
              <w:widowControl w:val="0"/>
              <w:kinsoku/>
              <w:overflowPunct w:val="0"/>
              <w:autoSpaceDE/>
              <w:autoSpaceDN/>
              <w:adjustRightInd/>
              <w:snapToGrid/>
              <w:spacing w:line="400" w:lineRule="exact"/>
              <w:jc w:val="center"/>
              <w:rPr>
                <w:rFonts w:ascii="Times New Roman" w:hAnsi="Times New Roman" w:eastAsia="方正小标宋简体" w:cs="Times New Roman"/>
                <w:snapToGrid/>
                <w:color w:val="000000" w:themeColor="text1"/>
                <w:kern w:val="21"/>
                <w14:textFill>
                  <w14:solidFill>
                    <w14:schemeClr w14:val="tx1"/>
                  </w14:solidFill>
                </w14:textFill>
              </w:rPr>
            </w:pPr>
            <w:bookmarkStart w:id="228" w:name="_Toc342744080"/>
            <w:bookmarkStart w:id="229" w:name="_Toc8124"/>
            <w:bookmarkStart w:id="230" w:name="_Toc116432536"/>
            <w:bookmarkStart w:id="231" w:name="_Toc22956"/>
            <w:bookmarkStart w:id="232" w:name="_Toc51745017"/>
            <w:bookmarkStart w:id="233" w:name="_Toc643878958"/>
            <w:bookmarkStart w:id="234" w:name="_Toc1237689171"/>
            <w:bookmarkStart w:id="235" w:name="_Toc19154"/>
            <w:bookmarkStart w:id="236" w:name="_Toc860622282"/>
            <w:bookmarkStart w:id="237" w:name="_Toc7490"/>
            <w:bookmarkStart w:id="238" w:name="_Toc19714675"/>
            <w:bookmarkStart w:id="239" w:name="_Toc27908"/>
            <w:bookmarkStart w:id="240" w:name="_Toc28622"/>
            <w:r>
              <w:rPr>
                <w:rFonts w:ascii="Times New Roman" w:hAnsi="Times New Roman" w:eastAsia="方正小标宋简体" w:cs="Times New Roman"/>
                <w:snapToGrid/>
                <w:color w:val="000000" w:themeColor="text1"/>
                <w:kern w:val="21"/>
                <w:sz w:val="30"/>
                <w:szCs w:val="30"/>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5</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十五五</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时期肇庆市</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各类</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平台载体</w:t>
            </w:r>
          </w:p>
        </w:tc>
      </w:tr>
      <w:tr w14:paraId="3354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77E06127">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一、重大平台</w:t>
            </w:r>
          </w:p>
          <w:p w14:paraId="4F6AA311">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1.大型产业集聚区：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加快建设现代化产业园区和现代化产业体系，打造肇庆创新发展示范区和高质量发展先行区。产业布局上，聚焦新能源汽车及零部件制造、新型储能与绿色能源、新一代电子信息三大主导产业，打造具有核心竞争力的产业集群，并积极培育低空经济、创新药和创新医疗器械、数智技术制造、人工智能和机器人等未来产业。</w:t>
            </w:r>
          </w:p>
          <w:p w14:paraId="22B9E736">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2.</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粤港澳大湾区</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怀集）绿色农副产品集散基地：进一步完善大西南进出口平台功能，联合肇庆海关，畅通供港澳绿色农副产品通道、提升集散配送效能。推进粮食应急保障中心建设运营，谋划打造服务大西南的区域性农副产品云仓基地、服务大湾区的农副产品集中交易</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市场</w:t>
            </w:r>
            <w:r>
              <w:rPr>
                <w:rFonts w:ascii="Times New Roman" w:hAnsi="Times New Roman" w:eastAsia="方正仿宋_GBK"/>
                <w:snapToGrid/>
                <w:color w:val="000000" w:themeColor="text1"/>
                <w:kern w:val="21"/>
                <w:sz w:val="28"/>
                <w:szCs w:val="28"/>
                <w:lang w:eastAsia="zh-CN"/>
                <w14:textFill>
                  <w14:solidFill>
                    <w14:schemeClr w14:val="tx1"/>
                  </w14:solidFill>
                </w14:textFill>
              </w:rPr>
              <w:t>，培育超百亿大食品产业集群。</w:t>
            </w:r>
          </w:p>
          <w:p w14:paraId="0502E41E">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3</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粤港澳大湾区肇庆（德庆）南药健康产业基地：建立健全集中药标准化种植和精深加工、医药制造、仓储物流、中医康养、健康文化旅游等于一体的南药健康现代化产业体系。</w:t>
            </w:r>
          </w:p>
          <w:p w14:paraId="590D51C4">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二、经济技术开发区</w:t>
            </w:r>
          </w:p>
          <w:p w14:paraId="5D6F23A7">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1.肇庆端州双龙经济开发区：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w:t>
            </w:r>
            <w:r>
              <w:rPr>
                <w:rFonts w:ascii="Times New Roman" w:hAnsi="Times New Roman" w:eastAsia="方正仿宋_GBK"/>
                <w:snapToGrid/>
                <w:color w:val="000000" w:themeColor="text1"/>
                <w:kern w:val="21"/>
                <w:sz w:val="28"/>
                <w:szCs w:val="28"/>
                <w:lang w:eastAsia="zh-CN"/>
                <w14:textFill>
                  <w14:solidFill>
                    <w14:schemeClr w14:val="tx1"/>
                  </w14:solidFill>
                </w14:textFill>
              </w:rPr>
              <w:t>计算机、通信和其他电子设备制造业，电气机械和器材制造业，专用设备制造业</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。加快形成以新一代电子信息、先进装备、生物医药为主导，以食品饮料、新材料为特色的“3+2”产业体系，推动端州区产业转移升级配套项目建设。</w:t>
            </w:r>
          </w:p>
          <w:p w14:paraId="048A5855">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2.肇庆四会经济开发区：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重点发展有色金属冶炼和压延加工业、金属制品业、电气机械和器材制造业。</w:t>
            </w:r>
          </w:p>
          <w:p w14:paraId="4EB0D17C">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三、高新技术产业开发区</w:t>
            </w:r>
          </w:p>
          <w:p w14:paraId="29A3AB01">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1.肇庆高新技术产业开发区：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聚焦“双新引领、传统升级、未来布局”战略，打造具有核心竞争力的产业高地。建强新能源汽车、新型储能“双新”产业集群，加快建设45平方公里肇庆大旺新能源智能汽车产业城。升级传统优势产业，推动食品饮料、金属加工、绿色家居、新材料等基础优势产业强链补链，推动其向高端化、智能化、绿色化方向跃升。布局未来产业，前瞻性培育低空经济、人工智能和机器人等未来产业。</w:t>
            </w:r>
          </w:p>
          <w:p w14:paraId="363B2533">
            <w:pPr>
              <w:pStyle w:val="8"/>
              <w:widowControl w:val="0"/>
              <w:kinsoku/>
              <w:overflowPunct w:val="0"/>
              <w:autoSpaceDE/>
              <w:autoSpaceDN/>
              <w:adjustRightInd/>
              <w:snapToGrid/>
              <w:spacing w:after="0"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2.肇庆砚阳湖高新技术产业开发区：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聚焦新型工业化，重点发展新能源汽车及汽车零部件、新一代电子信息、先进装备制造、人工智能、食品饮料产业。</w:t>
            </w:r>
          </w:p>
          <w:p w14:paraId="31494F17">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3.</w:t>
            </w:r>
            <w:r>
              <w:rPr>
                <w:rFonts w:ascii="Times New Roman" w:hAnsi="Times New Roman" w:eastAsia="方正仿宋_GBK"/>
                <w:snapToGrid/>
                <w:color w:val="000000" w:themeColor="text1"/>
                <w:spacing w:val="11"/>
                <w:kern w:val="21"/>
                <w:sz w:val="28"/>
                <w:szCs w:val="28"/>
                <w:lang w:eastAsia="zh-CN"/>
                <w14:textFill>
                  <w14:solidFill>
                    <w14:schemeClr w14:val="tx1"/>
                  </w14:solidFill>
                </w14:textFill>
              </w:rPr>
              <w:t>肇庆金利高新技术产业开发区（含肇庆金利高新区精细化工产业园）：</w:t>
            </w:r>
            <w:r>
              <w:rPr>
                <w:rFonts w:hint="eastAsia" w:ascii="Times New Roman" w:hAnsi="Times New Roman" w:eastAsia="方正仿宋_GBK"/>
                <w:snapToGrid/>
                <w:color w:val="000000" w:themeColor="text1"/>
                <w:spacing w:val="11"/>
                <w:kern w:val="21"/>
                <w:sz w:val="28"/>
                <w:szCs w:val="28"/>
                <w:lang w:eastAsia="zh-CN"/>
                <w14:textFill>
                  <w14:solidFill>
                    <w14:schemeClr w14:val="tx1"/>
                  </w14:solidFill>
                </w14:textFill>
              </w:rPr>
              <w:t>聚焦传统产业转型升级，重点发展金属智造产业、新材料产业。</w:t>
            </w:r>
          </w:p>
          <w:p w14:paraId="62608702">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四、省产业园区</w:t>
            </w:r>
          </w:p>
          <w:p w14:paraId="3C3F8060">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1.肇庆高要产业园区：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重点发展金属制品业、食品制造业、电气机械和器材制造业。</w:t>
            </w:r>
          </w:p>
          <w:p w14:paraId="6CC85036">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2.肇庆四会产业园区（含四会市精细化工工业园）</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：重点发展化学原料和化学制品制造业、金属制品业、废弃资源综合利用业。</w:t>
            </w:r>
          </w:p>
          <w:p w14:paraId="13EEC562">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3.肇庆广宁产业园区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：重点发展橡胶和塑料制品业、通用设备制造业、非金属矿物制品业、竹加工制造业，培育多个规模超百亿元的产业集群，做强竹产业和资源循环两大主导产业。</w:t>
            </w:r>
          </w:p>
          <w:p w14:paraId="768AB670">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4.肇庆德庆产业园区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家居建材、机械装备制造、通用风机、化工新材料、食品南药等产业，培育壮大电子信息、新能源、新材料等新兴产业，打造家居建材产业成为100亿元产业集群，机械装备制造、化工新材料等产业成为50亿元产业集群。</w:t>
            </w:r>
          </w:p>
          <w:p w14:paraId="7667B3C9">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5</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肇庆封开产业园区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：重点发展非金属矿物制品业，酒、饮料和精制茶制造业，木材加工和木、竹、藤、棕、草制品业。</w:t>
            </w:r>
          </w:p>
          <w:p w14:paraId="4A2E5AAC">
            <w:pPr>
              <w:pStyle w:val="8"/>
              <w:widowControl w:val="0"/>
              <w:numPr>
                <w:ilvl w:val="255"/>
                <w:numId w:val="0"/>
              </w:numPr>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6.</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肇庆东进产业园区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：重点发展智能网联新能源汽车及零部件、新型储能、新一代电子信息、高端装备制造、先进材料等产业，积极培育低空经济、创新药和创新医疗器械、数智技术制造、人工智能和机器人等未来产业。</w:t>
            </w:r>
          </w:p>
          <w:p w14:paraId="771723B6">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7.</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粤桂合作特别试验区（肇庆）封开分园：重点发展金属制品业、电气机械和器材制造业、食品制造业。</w:t>
            </w:r>
          </w:p>
          <w:p w14:paraId="41209E27">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8.肇庆怀集产业园区</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：重点发展食品制造业、金属制品业、通用设备制造业，加快发展新材料等特色产业，培育超百亿大食品产业集群和金属制品、新材料2个超50亿产业集群。</w:t>
            </w:r>
          </w:p>
          <w:p w14:paraId="2B7104A5">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五、海关监管特殊区域</w:t>
            </w:r>
          </w:p>
          <w:p w14:paraId="1CD5D2EB">
            <w:pPr>
              <w:pStyle w:val="8"/>
              <w:widowControl w:val="0"/>
              <w:kinsoku/>
              <w:overflowPunct w:val="0"/>
              <w:autoSpaceDE/>
              <w:autoSpaceDN/>
              <w:adjustRightInd/>
              <w:snapToGrid/>
              <w:spacing w:after="0" w:line="420" w:lineRule="exact"/>
              <w:ind w:firstLine="560" w:firstLineChars="200"/>
              <w:jc w:val="both"/>
              <w:rPr>
                <w:rFonts w:ascii="Times New Roman" w:hAnsi="Times New Roman" w:eastAsia="仿宋_GB2312"/>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w:t>
            </w:r>
            <w:r>
              <w:rPr>
                <w:rFonts w:hint="eastAsia" w:ascii="Times New Roman" w:hAnsi="Times New Roman" w:eastAsia="方正仿宋_GBK"/>
                <w:snapToGrid/>
                <w:color w:val="000000" w:themeColor="text1"/>
                <w:spacing w:val="6"/>
                <w:kern w:val="21"/>
                <w:sz w:val="28"/>
                <w:szCs w:val="28"/>
                <w:lang w:eastAsia="zh-CN"/>
                <w14:textFill>
                  <w14:solidFill>
                    <w14:schemeClr w14:val="tx1"/>
                  </w14:solidFill>
                </w14:textFill>
              </w:rPr>
              <w:t>庆保税物流中心（B型）：重点发展包括保税仓储、流通性简单加工和增值服务、全球采购和国际分拨配送、转口贸易和国际中转等业务。</w:t>
            </w:r>
          </w:p>
        </w:tc>
      </w:tr>
    </w:tbl>
    <w:p w14:paraId="05AA13B0">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41" w:name="_Toc30792"/>
      <w:bookmarkStart w:id="242" w:name="_Toc1567836527"/>
      <w:bookmarkStart w:id="243" w:name="_Toc1778366179"/>
      <w:bookmarkStart w:id="244" w:name="_Toc7699"/>
      <w:bookmarkStart w:id="245" w:name="_Toc695905552"/>
      <w:bookmarkStart w:id="246" w:name="_Toc25481"/>
      <w:bookmarkStart w:id="247" w:name="_Toc33105741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第六节  深化一二三产业融合发展</w:t>
      </w:r>
      <w:bookmarkEnd w:id="241"/>
      <w:bookmarkEnd w:id="242"/>
      <w:bookmarkEnd w:id="243"/>
      <w:bookmarkEnd w:id="244"/>
      <w:bookmarkEnd w:id="245"/>
      <w:bookmarkEnd w:id="246"/>
      <w:bookmarkEnd w:id="247"/>
    </w:p>
    <w:p w14:paraId="0EE8DBDA">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以产业链条延伸、业态模式创新、资源要素整合为核心，推动现代农业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先进制造业、现代服务业相互融合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，在三次产业融合发展中加快塑造经济新动能新优势。</w:t>
      </w:r>
    </w:p>
    <w:p w14:paraId="7E5B8B05">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推动农业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接二连三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融合升级</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。以延伸产业链、提升价值链为核心，推动农业与加工、流通、文旅等产业深度融合。加快农产品精深加工发展，重点推进德庆南药和贡柑、怀集丝苗米和岗坪切粉、高要肉桂和活道大米、四会沙糖桔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特色农产品加工基地建设，开发药食同源产品、预制菜、果脯饮料等高附加值产品，培育一批农业产业化企业。构建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产工销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一体化发展体系，依托肇庆（怀集）绿色农副产品集散基地等平台，联动大湾区市场与大西南产区，建立从田间到餐桌的全链条供应链体系；推动家庭农场、农民合作社与企业抱团发展，形成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企业+合作社+农户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利益共享机制。拓展农业多元价值，推动农业与文旅、康养、教育等产业融合，打造一批休闲农业园、乡村民宿集群、农耕文化体验基地，发展乡村旅游、研学旅游、康养农业等新业态，促进农文旅体深度融合发展，带动乡村振兴。</w:t>
      </w:r>
    </w:p>
    <w:p w14:paraId="0442247C">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促进制造业与服务业深度融合</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。以产业协同增效为目标，推动制造业服务化转型与服务业赋能制造业双向发力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，促进工业流程再造</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。推动制造业服务化转型，引导新能源汽车及零部件制造、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电子信息、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先进</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装备制造等优势制造业企业延伸服务链条，发展研发设计、定制生产、融资租赁、售后维保、远程运维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、工业旅游</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等增值服务，提升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品牌影响力和</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产业附加值。培育融合发展新业态新模式，支持发展工业互联网平台，推动制造业企业上云用平台，助力平台整合各方数据资源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实现生产要素高效配置与产业链协同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，构筑工业品供应链数字化服务体系。</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鼓励发展服务型制造，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引导五金、金属加工等传统制造向“个性化定制服务”跃升，支持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工业设计、供应链管理、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微型工坊线下体验店</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等增值服务。</w:t>
      </w:r>
    </w:p>
    <w:p w14:paraId="3351DC9E">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强化服务业引领产业协同发展。以现代服务业为纽带，推动一二三产业资源要素优化配置，构建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服务业引领、三次产业联动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的发展格局。依托物流枢纽与供应链服务平台，推动农业生产资料供应、农产品流通与制造业原材料采购、产品销售高效衔接，实现产业间物流协同与成本降低。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加快科技赋能</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，推动农业科技创新、制造业技术升级与服务业模式创新相互促进，加速创新成果在三次产业落地转化，提升产业整体竞争力。借力平台经济，带动特色农业、优势制造业产品品牌推广与市场拓展。推动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肇庆农品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走向大湾区、辐射大西南，形成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服务促产业、产业兴服务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的良性互动格局。</w:t>
      </w:r>
    </w:p>
    <w:p w14:paraId="52CC9F02">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48" w:name="_Toc1561736999"/>
      <w:bookmarkStart w:id="249" w:name="_Toc812"/>
      <w:bookmarkStart w:id="250" w:name="_Toc4345"/>
      <w:bookmarkStart w:id="251" w:name="_Toc136793429"/>
      <w:bookmarkStart w:id="252" w:name="_Toc902122672"/>
      <w:bookmarkStart w:id="253" w:name="_Toc29795"/>
      <w:bookmarkStart w:id="254" w:name="_Toc21310171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第七节  积极参与国际国内重大产业链</w:t>
      </w:r>
      <w:bookmarkEnd w:id="228"/>
      <w:bookmarkEnd w:id="229"/>
      <w:bookmarkEnd w:id="230"/>
      <w:bookmarkEnd w:id="231"/>
      <w:bookmarkEnd w:id="232"/>
      <w:bookmarkEnd w:id="233"/>
      <w:bookmarkEnd w:id="234"/>
      <w:bookmarkEnd w:id="235"/>
      <w:bookmarkEnd w:id="236"/>
      <w:bookmarkEnd w:id="237"/>
      <w:bookmarkEnd w:id="238"/>
      <w:bookmarkEnd w:id="23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合作</w:t>
      </w:r>
      <w:bookmarkEnd w:id="240"/>
      <w:bookmarkEnd w:id="248"/>
      <w:bookmarkEnd w:id="249"/>
      <w:bookmarkEnd w:id="250"/>
      <w:bookmarkEnd w:id="251"/>
      <w:bookmarkEnd w:id="252"/>
      <w:bookmarkEnd w:id="253"/>
      <w:bookmarkEnd w:id="254"/>
    </w:p>
    <w:p w14:paraId="62F926F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坚持“精准对接、项目引领、招商赋能”，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坚决把招商引资作为经济发展的生命线，</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主动链接国际国内优质产业资源，全面提升肇庆在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国际国内重大</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价值链中的嵌入度和竞争力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00684CE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精准锚定产业链合作方向。主动链接全球产业链，紧盯全球产业链重构趋势，重点对接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前沿赛道产业</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等领域领先企业，推动产业向价值链中高端跃升。积极对接国内重点区域产业链，招引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高端制造业、现代服务业、文化创意产业、现代农业等</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补链强链特色产业。深度融入粤港澳大湾区战略性新兴产业链，围绕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主导+特色+未来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产业，着力招引链主型、节点型、功能型项目。</w:t>
      </w:r>
    </w:p>
    <w:p w14:paraId="74B822C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系统谋划重点合作项目。围绕产业链合作方向，谋划储备一批支撑性、引领性重大项目。强化国际合作项目布局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谋划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一批</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面向东盟、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一带一路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共建国家和地区的跨境产业链供应链合作项目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。深化国内重点领域项目储备，</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谋划布局产业生态构建类、创新成果转化类项目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，构建服务业招商大格局</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，强化产业链关键环节协同支撑。</w:t>
      </w:r>
    </w:p>
    <w:p w14:paraId="729A038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完善</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招商引资</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机制</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。创新招商引资方式方法</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围绕主导产业上下游和细分领域招商，加快</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1+11+N</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Style w:val="29"/>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footnoteReference w:id="1"/>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联合作战的招商格局，全面推行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三个三分之一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工作法。拓宽招商网络，加大外资招商力度，深化与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欧美、</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日韩、东南亚及</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一带一路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共建</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国家的合作，更大力度招引</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外资</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企业落户肇庆。拓展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国内其他经济活跃区域招商网络</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加强与长三角、京津冀、成渝、西安</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地区的产业联动，构建“区域深耕、多点突破、快速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反应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”招商网络。</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围绕大湾区核心城市精准招商，常态化开展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走出去、请进来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招商活动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全力联系和服务好企业，进一步营造重视企业、尊重企业的舆论氛围，推动部门服务资源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集成化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，聚焦为企业帮找市场、帮找政策、帮找资金、帮找平台，全面优化服务。</w:t>
      </w:r>
    </w:p>
    <w:p w14:paraId="3A5ABB3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加强招商</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要素保障</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灵活运用场景招商、以商引商、协会招商等模式，</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积极发挥统战、侨联、工商联、乡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亲</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等作用，搭建多元化招商网络。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项目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“快落地”，持续抓好全流程调度督导，全力攻坚项目供地、开工、竣工、投产、上规等关键环节，形成签约、开工、竣工、投产的滚动发展态势。</w:t>
      </w:r>
    </w:p>
    <w:p w14:paraId="5721062E">
      <w:pPr>
        <w:widowControl w:val="0"/>
        <w:kinsoku/>
        <w:overflowPunct w:val="0"/>
        <w:autoSpaceDE/>
        <w:autoSpaceDN/>
        <w:adjustRightInd/>
        <w:snapToGrid/>
        <w:spacing w:after="156" w:afterLines="50" w:line="590" w:lineRule="exact"/>
        <w:ind w:firstLine="640" w:firstLineChars="200"/>
        <w:jc w:val="both"/>
        <w:textAlignment w:val="auto"/>
        <w:rPr>
          <w:rFonts w:ascii="Times New Roman" w:hAnsi="Times New Roman"/>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大力推进增资扩产。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贯彻落实省级企业技术改造政策，坚持智能化、绿色化、融合化方向，支持企业采用新技术、新工艺、新设备、新材料对现有设施、工艺条件及生产服务等进行改造提升，支持企业通过增资扩产扩大生产规模、软硬件一体化改造等提升产业竞争力。鼓励商业银行根据企业实际需求提供“量身定制”综合金融服务，促进现有企业做大做强，提升产业发展能级。</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BB1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071" w:type="dxa"/>
            <w:vAlign w:val="center"/>
          </w:tcPr>
          <w:p w14:paraId="5A51AEAA">
            <w:pPr>
              <w:widowControl w:val="0"/>
              <w:kinsoku/>
              <w:overflowPunct w:val="0"/>
              <w:autoSpaceDE/>
              <w:autoSpaceDN/>
              <w:adjustRightInd/>
              <w:snapToGrid/>
              <w:spacing w:line="400" w:lineRule="exact"/>
              <w:jc w:val="center"/>
              <w:rPr>
                <w:rFonts w:ascii="Times New Roman" w:hAnsi="Times New Roman" w:eastAsia="方正小标宋_GBK" w:cs="方正小标宋_GBK"/>
                <w:snapToGrid/>
                <w:color w:val="000000" w:themeColor="text1"/>
                <w:kern w:val="21"/>
                <w:sz w:val="30"/>
                <w:szCs w:val="30"/>
                <w14:textFill>
                  <w14:solidFill>
                    <w14:schemeClr w14:val="tx1"/>
                  </w14:solidFill>
                </w14:textFill>
              </w:rPr>
            </w:pPr>
            <w:bookmarkStart w:id="255" w:name="_Toc19204"/>
            <w:r>
              <w:rPr>
                <w:rFonts w:hint="eastAsia" w:ascii="Times New Roman" w:hAnsi="Times New Roman" w:eastAsia="方正小标宋_GBK" w:cs="方正小标宋_GBK"/>
                <w:snapToGrid/>
                <w:color w:val="000000" w:themeColor="text1"/>
                <w:kern w:val="21"/>
                <w:sz w:val="30"/>
                <w:szCs w:val="30"/>
                <w14:textFill>
                  <w14:solidFill>
                    <w14:schemeClr w14:val="tx1"/>
                  </w14:solidFill>
                </w14:textFill>
              </w:rPr>
              <w:t>专栏</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6</w:t>
            </w:r>
            <w:r>
              <w:rPr>
                <w:rFonts w:hint="eastAsia" w:ascii="Times New Roman" w:hAnsi="Times New Roman" w:eastAsia="方正小标宋_GBK" w:cs="方正小标宋_GBK"/>
                <w:snapToGrid/>
                <w:color w:val="000000" w:themeColor="text1"/>
                <w:kern w:val="21"/>
                <w:sz w:val="30"/>
                <w:szCs w:val="30"/>
                <w14:textFill>
                  <w14:solidFill>
                    <w14:schemeClr w14:val="tx1"/>
                  </w14:solidFill>
                </w14:textFill>
              </w:rPr>
              <w:t>：</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“十五五”时期肇庆市招商引资重点方向</w:t>
            </w:r>
          </w:p>
        </w:tc>
      </w:tr>
      <w:tr w14:paraId="66A28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01C936DA">
            <w:pPr>
              <w:widowControl w:val="0"/>
              <w:kinsoku/>
              <w:overflowPunct w:val="0"/>
              <w:autoSpaceDE/>
              <w:autoSpaceDN/>
              <w:adjustRightInd/>
              <w:snapToGrid/>
              <w:spacing w:before="78" w:beforeLines="25" w:line="36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一、战略性新兴产业领域</w:t>
            </w:r>
          </w:p>
          <w:p w14:paraId="2D9A257B">
            <w:pPr>
              <w:widowControl w:val="0"/>
              <w:kinsoku/>
              <w:overflowPunct w:val="0"/>
              <w:autoSpaceDE/>
              <w:autoSpaceDN/>
              <w:adjustRightInd/>
              <w:snapToGrid/>
              <w:spacing w:after="78" w:afterLines="25" w:line="36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围绕新兴产业编制产业链招商图谱和路线图，瞄准国内外500强、隐形冠军、专精特新“小巨人”等头部企业开展招商，推动新兴产业积厚成势。新能源汽车产业重点引进三电系统、零部件生产制造、汽车电子、动力电池材料制造和电池循环利用企业。新型储能产业重点在电化学储能、储能装备制造等领域强链补链。新一代电子信息产业重点引进新型电子元器件、消费电子终端等项目。积极嵌入智能机器人、低空经济等新赛道。高端装备制造产业重点引进汽车装备、精密仪器设备等企业。新材料产业重点引进节能环保、先进化工材料等企业。</w:t>
            </w:r>
          </w:p>
          <w:p w14:paraId="68290503">
            <w:pPr>
              <w:widowControl w:val="0"/>
              <w:kinsoku/>
              <w:overflowPunct w:val="0"/>
              <w:autoSpaceDE/>
              <w:autoSpaceDN/>
              <w:adjustRightInd/>
              <w:snapToGrid/>
              <w:spacing w:line="35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二、补链强链特色产业领域</w:t>
            </w:r>
          </w:p>
          <w:p w14:paraId="63213930">
            <w:pPr>
              <w:widowControl w:val="0"/>
              <w:kinsoku/>
              <w:overflowPunct w:val="0"/>
              <w:autoSpaceDE/>
              <w:autoSpaceDN/>
              <w:adjustRightInd/>
              <w:snapToGrid/>
              <w:spacing w:line="35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做大做强食品饮料产业，大力招引休闲食品、复合调味品、生鲜食材加工企业，聚焦高端饮用水、功能饮料、茶饮料等培育发展“水经济”。持续引进精密铸造、消费级金属制品项目，推动精密金属制造产业从民用向工用兼顾发展。坚持高端化、智能化、绿色化方向，因地制宜招引一批装配式建材、智能家居企业。引导各县（市</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）在细分领域打造1—2个主导优势产业，着力培育一批百亿级产业集群和10亿级项目。</w:t>
            </w:r>
          </w:p>
          <w:p w14:paraId="1B9E60E8">
            <w:pPr>
              <w:widowControl w:val="0"/>
              <w:kinsoku/>
              <w:overflowPunct w:val="0"/>
              <w:autoSpaceDE/>
              <w:autoSpaceDN/>
              <w:adjustRightInd/>
              <w:snapToGrid/>
              <w:spacing w:line="35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三、前沿赛道产业领域</w:t>
            </w:r>
          </w:p>
          <w:p w14:paraId="7457D1A5">
            <w:pPr>
              <w:widowControl w:val="0"/>
              <w:kinsoku/>
              <w:overflowPunct w:val="0"/>
              <w:autoSpaceDE/>
              <w:autoSpaceDN/>
              <w:adjustRightInd/>
              <w:snapToGrid/>
              <w:spacing w:line="350" w:lineRule="exact"/>
              <w:ind w:firstLine="560" w:firstLineChars="200"/>
              <w:jc w:val="both"/>
              <w:textAlignment w:val="auto"/>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扎实开展“人工智能+”、“机器人+”行动，大力发展人工智能与机器人应用场景和关联产业，积极嵌入制造、文旅、教育、医疗、康养等领域。着力引育一批无人机整机设计、部件制造以及总装集成等重点企业，开拓物流配送、文旅消费、农业植保、应急救援、城市管理等低空应用场景</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推动低空经济全产业链发展。因地制宜以小切口引育发展氢能、先进材料、半导体、医药医械等未来产业。建立未来产业投入增长机制，编制未来产业链招商图谱，建立头部企业和领军人才数据库，拓展产业发展新赛道。</w:t>
            </w:r>
          </w:p>
          <w:p w14:paraId="03BFDD90">
            <w:pPr>
              <w:widowControl w:val="0"/>
              <w:kinsoku/>
              <w:overflowPunct w:val="0"/>
              <w:autoSpaceDE/>
              <w:autoSpaceDN/>
              <w:adjustRightInd/>
              <w:snapToGrid/>
              <w:spacing w:line="35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四、现代服务业领域</w:t>
            </w:r>
          </w:p>
          <w:p w14:paraId="30871F8C">
            <w:pPr>
              <w:widowControl w:val="0"/>
              <w:kinsoku/>
              <w:overflowPunct w:val="0"/>
              <w:autoSpaceDE/>
              <w:autoSpaceDN/>
              <w:adjustRightInd/>
              <w:snapToGrid/>
              <w:spacing w:line="35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引进更多知名电商平台公司集聚布局，加快电商企业扩能增效，推动“跨境电商+产业带”融合发展。大力发展总部经济，积极引进有实力的企业集团在肇庆设立区域总部以及研发中心、采购中心。实施有效降低全社会物流成本行动，引育打造集仓储、配送、港航、口岸服务等于一体的现代物流基地。依托广州新机场建设谋划发展临空经济，支持肇庆高新区对接广州新白云国际机场，加快招引布局航空物流、临空服务、航空配套等产业。加大研发设计、检测认证、信息服务、金融服务等重点领域招引力度，推动生产性服务业向专业化和价值链高端延伸。加大综合体、连锁店等业态引育力度，培育发展首发经济、银发经济，加强养老、家政、体育、演艺等生活性服务业重点领域招商，支持</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规划建设体育产业园，优化高品质生活服务新供给。积极招引一批优质文旅项目，培育发展民宿经济、生态康养、都市农业等业态，推动农文商旅融合发展。</w:t>
            </w:r>
          </w:p>
          <w:p w14:paraId="11912EFF">
            <w:pPr>
              <w:widowControl w:val="0"/>
              <w:kinsoku/>
              <w:overflowPunct w:val="0"/>
              <w:autoSpaceDE/>
              <w:autoSpaceDN/>
              <w:adjustRightInd/>
              <w:snapToGrid/>
              <w:spacing w:line="35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五、现代农业领域</w:t>
            </w:r>
          </w:p>
          <w:p w14:paraId="064C5B38">
            <w:pPr>
              <w:widowControl w:val="0"/>
              <w:kinsoku/>
              <w:overflowPunct w:val="0"/>
              <w:autoSpaceDE/>
              <w:autoSpaceDN/>
              <w:adjustRightInd/>
              <w:snapToGrid/>
              <w:spacing w:line="35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优化完善农业招商政策，梳理形成农业产业链“鱼骨图”，以产业链思维做好“土特产”文章。着力引进一批农业企业、行业领军企业、农产品精深加工企业，培育壮大粮油、蔬菜、水果、畜禽、水产、南药等百亿元级农业产业集群和超十亿元级农业单品，持续发展壮大预制菜产业，推动传统农业“接二连三”，延伸产业链、提升价值链。组织市县参加广东现</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代农业博览会、广东种业博览会等重大招商活动，吸引重点农业企业来肇投资兴业，加快补齐现代农业产业链条。引育壮大竹、油茶、林下中药材等特色优势产业，大力招引林下经济、林业碳汇等项目，持续壮大林业产业。</w:t>
            </w:r>
          </w:p>
        </w:tc>
      </w:tr>
    </w:tbl>
    <w:p w14:paraId="4B1130BD">
      <w:pPr>
        <w:widowControl w:val="0"/>
        <w:kinsoku/>
        <w:overflowPunct w:val="0"/>
        <w:autoSpaceDE/>
        <w:autoSpaceDN/>
        <w:adjustRightInd/>
        <w:snapToGrid/>
        <w:spacing w:line="400" w:lineRule="exact"/>
        <w:ind w:firstLine="640" w:firstLineChars="200"/>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052D610A">
      <w:pPr>
        <w:pStyle w:val="3"/>
        <w:keepNext w:val="0"/>
        <w:keepLines w:val="0"/>
        <w:widowControl w:val="0"/>
        <w:kinsoku/>
        <w:overflowPunct w:val="0"/>
        <w:autoSpaceDE/>
        <w:autoSpaceDN/>
        <w:adjustRightInd/>
        <w:snapToGrid/>
        <w:spacing w:before="0" w:after="0" w:line="700" w:lineRule="exact"/>
        <w:jc w:val="cente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256" w:name="_Toc24495"/>
      <w:bookmarkStart w:id="257" w:name="_Toc700797646"/>
      <w:bookmarkStart w:id="258" w:name="_Toc443198270"/>
      <w:bookmarkStart w:id="259" w:name="_Toc1728000872"/>
      <w:bookmarkStart w:id="260" w:name="_Toc25539"/>
      <w:bookmarkStart w:id="261" w:name="_Toc25025"/>
      <w:bookmarkStart w:id="262" w:name="_Toc1336312575"/>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第四章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全面增强科技创新能力，引领发展新质生产力</w:t>
      </w:r>
      <w:bookmarkEnd w:id="255"/>
      <w:bookmarkEnd w:id="256"/>
      <w:bookmarkEnd w:id="257"/>
      <w:bookmarkEnd w:id="258"/>
      <w:bookmarkEnd w:id="259"/>
      <w:bookmarkEnd w:id="260"/>
      <w:bookmarkEnd w:id="261"/>
      <w:bookmarkEnd w:id="262"/>
    </w:p>
    <w:p w14:paraId="0476F5A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6761671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坚定不移走</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科技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创新与</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创新融合之路</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，加快构建全过程创新链，统筹教育、科技、人才</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一体化建设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，以科技创新驱动生产力向新的质态跃升。</w:t>
      </w:r>
    </w:p>
    <w:p w14:paraId="22F0BC56">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63" w:name="_Toc5826"/>
      <w:bookmarkStart w:id="264" w:name="_Toc196940343"/>
      <w:bookmarkStart w:id="265" w:name="_Toc645901434"/>
      <w:bookmarkStart w:id="266" w:name="_Toc132594759"/>
      <w:bookmarkStart w:id="267" w:name="_Toc7972"/>
      <w:bookmarkStart w:id="268" w:name="_Toc11466"/>
      <w:bookmarkStart w:id="269" w:name="_Toc1029881626"/>
      <w:bookmarkStart w:id="270" w:name="_Toc3416"/>
      <w:bookmarkStart w:id="271" w:name="_Toc1249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构建“一廊四园多节点”创新空间布局</w:t>
      </w:r>
      <w:bookmarkEnd w:id="263"/>
      <w:bookmarkEnd w:id="264"/>
      <w:bookmarkEnd w:id="265"/>
      <w:bookmarkEnd w:id="266"/>
      <w:bookmarkEnd w:id="267"/>
      <w:bookmarkEnd w:id="268"/>
      <w:bookmarkEnd w:id="269"/>
    </w:p>
    <w:p w14:paraId="68DE4BC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创新空间布局，以高鼎端科教创新走廊为主轴，串联沿线创新资源实现串珠成链，深度融入粤港澳大湾区创新链、产业链，统筹推进教育、科技、人才体制机制一体改革，构建资源密集、服务链条完善的创新生态走廊，打造全市创新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脊梁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。以肇庆高新区、肇庆东进产业园、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砚阳湖高新区、肇庆金利高新区四大园区为主阵地，优化产业空间配置与要素保障，聚焦新能源汽车及零部件、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新型储能与绿色能源等主导产业，打造现代化产业体系的核心承载区与产业集群培育高地。发挥高校、科研平台等重要节点作用，强化基础研究与应用研究协同，深化产教融合、科教融汇，打造创新源头供给地与产学研融合枢纽。</w:t>
      </w:r>
    </w:p>
    <w:p w14:paraId="60FA1624">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72" w:name="_Toc1953367718"/>
      <w:bookmarkStart w:id="273" w:name="_Toc29378"/>
      <w:bookmarkStart w:id="274" w:name="_Toc31102"/>
      <w:bookmarkStart w:id="275" w:name="_Toc1780293095"/>
      <w:bookmarkStart w:id="276" w:name="_Toc697926461"/>
      <w:bookmarkStart w:id="277" w:name="_Toc31632"/>
      <w:bookmarkStart w:id="278" w:name="_Toc170064897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建设高鼎端科教创新走廊</w:t>
      </w:r>
      <w:bookmarkEnd w:id="270"/>
      <w:bookmarkEnd w:id="271"/>
      <w:bookmarkEnd w:id="272"/>
      <w:bookmarkEnd w:id="273"/>
      <w:bookmarkEnd w:id="274"/>
      <w:bookmarkEnd w:id="275"/>
      <w:bookmarkEnd w:id="276"/>
      <w:bookmarkEnd w:id="277"/>
      <w:bookmarkEnd w:id="278"/>
      <w:bookmarkStart w:id="279" w:name="_Toc5431"/>
    </w:p>
    <w:p w14:paraId="250542D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主动对接广深港、广珠澳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科技</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创新走廊，推动创新要素资源优化整合、开放共享，打造全市教育高地、创新高地、人才高地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15CCAFB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加强原始创新与核心技术攻关。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系统部署基础研究与应用基础研究，聚焦信息、材料、制造、健康、现代农业、能源等前沿领域，凝练和解决重大应用领域中的共性和基础科学问题。强化科技支撑和应用，深入推进“主导+特色”产业关键核心技术攻关，支持企业与高校、科研院所组建体系化、任务型的创新联合体，</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促进技术要素成果转化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。完善科技创新体制机制，建立财政科技投入稳定增长机制，拓展多元投入渠道，推动设立“粤肇联合基金”。优化管理服务机制，营造良好创新生态。</w:t>
      </w:r>
    </w:p>
    <w:p w14:paraId="0F76620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加快建设应用型高等教育基地。落实高等教育</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冲一流、补短板、强特色</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升计划，支持肇庆学院、肇庆医学院、广东金融学院（肇庆校区）等高校提质发展，争取新引入若干高等院校，打造优势学科集群，着力提升肇庆高等教育综合竞争力。深化产教融合、科教融汇，谋划公办综合性高职院校，推进现代产业学院建设，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产业市域产教联合体和行业产教融合共同体，探索教育园、科技园、产业园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三园融合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发展，推进教育科技人才一体化发展。</w:t>
      </w:r>
    </w:p>
    <w:p w14:paraId="1FAECA3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加快推动高校科技成果向现实生产力转化。</w:t>
      </w:r>
      <w:bookmarkEnd w:id="279"/>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校企协同转化，引导企业主动对接高校科研资源，联合开展定向研发与成果定制化转化，推动创新成果精准匹配产业需求。积极承接广深港澳等核心城市优质科技成果，在创新走廊内实现落地转化与产业化放大，加速形成“研发在湾区、转化在肇庆”的发展格局。健全成果转化激励机制，深化科技成果使用权、处置权和收益权改革，激发科研人员成果转化积极性。持续深化“肇星计划”，支持优质科技型企业对接资本市场，构建覆盖企业全生命周期的科创金融服务体系。</w:t>
      </w:r>
    </w:p>
    <w:p w14:paraId="0B0154F5">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280" w:name="_Toc31447"/>
      <w:bookmarkStart w:id="281" w:name="_Toc20249"/>
      <w:bookmarkStart w:id="282" w:name="_Toc575080184"/>
      <w:bookmarkStart w:id="283" w:name="_Toc30462890"/>
      <w:bookmarkStart w:id="284" w:name="_Toc697395944"/>
      <w:bookmarkStart w:id="285" w:name="_Toc1435976503"/>
      <w:bookmarkStart w:id="286" w:name="_Toc4163"/>
      <w:bookmarkStart w:id="287" w:name="_Toc6185"/>
      <w:bookmarkStart w:id="288" w:name="_Toc637313547"/>
      <w:bookmarkStart w:id="289" w:name="_Toc469814221"/>
      <w:bookmarkStart w:id="290" w:name="_Toc17254"/>
      <w:bookmarkStart w:id="291" w:name="_Toc25722"/>
      <w:bookmarkStart w:id="292" w:name="_Toc28609"/>
      <w:bookmarkStart w:id="293" w:name="_Toc12862"/>
      <w:bookmarkStart w:id="294" w:name="_Toc1383238612"/>
      <w:bookmarkStart w:id="295" w:name="_Toc22526"/>
      <w:bookmarkStart w:id="296" w:name="_Toc496421893"/>
      <w:bookmarkStart w:id="297" w:name="_Toc1817666490"/>
      <w:bookmarkStart w:id="298" w:name="_Toc446883540"/>
      <w:bookmarkStart w:id="299" w:name="_Toc1592723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加快高能级创新平台建设</w:t>
      </w:r>
      <w:bookmarkEnd w:id="280"/>
      <w:bookmarkEnd w:id="281"/>
      <w:bookmarkEnd w:id="282"/>
      <w:bookmarkEnd w:id="283"/>
      <w:bookmarkEnd w:id="284"/>
      <w:bookmarkEnd w:id="285"/>
      <w:bookmarkEnd w:id="286"/>
      <w:bookmarkEnd w:id="287"/>
    </w:p>
    <w:p w14:paraId="53D804C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强化创新资源集聚与成果转化效能，聚焦科技创新、创业孵化、场景应用三大关键领域，系统推进高能级创新平台建设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0A7E148E">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科技创新平台。加快推进实验室体系建设，积极推动条件成熟的平台申报国家和省级认定。提升西江实验室等省级平台运作效能，精准对接优势产业领域，积极争取承担更多省级以上科研项目落地，强化科研成果与产业发展的协同衔接。支持广宁县与国际竹藤中心合作共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以竹代塑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创新研究院广宁分院，深入谋划竹产业成果转化与高效利用。支持医疗机构与企业、院校等合作开展中医药科技研发创新，积极研发中药制剂和中医药大健康产品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探索</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在肇庆新区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建设肇庆科学城，打造集科研创新、成果转化、人才集聚、产业孵化于一体的创新高地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期间，新增各级各类创新平台超过100家。</w:t>
      </w:r>
    </w:p>
    <w:p w14:paraId="3F4DA42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建设创新创业孵化平台。持续引进青创基地品牌运营企业（团队），对落地机构、企业、项目和人才团队进行全周期跟踪服务，提供一站式基础创业知识指导、投融资、证照代办、人力资源招聘、惠企政策推送等线上线下全周期创业服务。</w:t>
      </w:r>
    </w:p>
    <w:p w14:paraId="4C7B8EB6">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加快建设创新展示平台和应用场景开发。实施场景赋能行动，聚焦低空经济、数字农业、智慧文旅、绿色低碳等新兴领域，吸引高校、科研院所与企业联合开展技术验证、产品测试。在肇庆高新区、肇庆新区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大型产业集聚区等地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未来产业场景应用，推动无人机物流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（无人车）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、智能网联汽车、数字孪生等技术场景化落地。</w:t>
      </w:r>
    </w:p>
    <w:p w14:paraId="5E5D76CF">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00" w:name="_Toc15381"/>
      <w:bookmarkStart w:id="301" w:name="_Toc17778"/>
      <w:bookmarkStart w:id="302" w:name="_Toc9542"/>
      <w:bookmarkStart w:id="303" w:name="_Toc205539813"/>
      <w:bookmarkStart w:id="304" w:name="_Toc1178493090"/>
      <w:bookmarkStart w:id="305" w:name="_Toc15151"/>
      <w:bookmarkStart w:id="306" w:name="_Toc1046217643"/>
      <w:bookmarkStart w:id="307" w:name="_Toc286252666"/>
      <w:bookmarkStart w:id="308" w:name="_Toc1722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培育壮大企业</w:t>
      </w:r>
      <w:bookmarkEnd w:id="300"/>
      <w:bookmarkEnd w:id="3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创新主体</w:t>
      </w:r>
      <w:bookmarkEnd w:id="302"/>
      <w:bookmarkEnd w:id="303"/>
      <w:bookmarkEnd w:id="304"/>
      <w:bookmarkEnd w:id="305"/>
      <w:bookmarkEnd w:id="306"/>
      <w:bookmarkEnd w:id="307"/>
      <w:bookmarkEnd w:id="308"/>
    </w:p>
    <w:p w14:paraId="63D8E91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强化企业科技创新主体地位，统筹推进科研机构培育、产业创新中心建设，推动创新资源向企业集聚、创新成果向产业转化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52478E6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强化企业科技创新主体地位。支持骨干企业自建或联合高校院所共建一批实验室、工程技术（研究）中心、企业技术中心等创新平台，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支撑产业链协同升级。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推动高新技术企业树标提质发展，力争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市高新技术企业中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四上</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企业占比持续超过60%</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培育一批省级专精特新企业、国家级专精特新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小巨人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企业。引导行业企业与高校、科研院所组建创新联合体。</w:t>
      </w:r>
    </w:p>
    <w:p w14:paraId="1069A50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培育提升科研机构</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实力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。推动大湾区高校、科研机构、重点企业在肇庆建成一批服务于传统产业升级和战略性新兴产业发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展的</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科研机构。谋划建设一批市级创新载体，搭建产学研协同机构，扩大科研仪器共享覆盖面。聚焦巴戟天、肉桂等特色品种，开展抗肿瘤、抗炎等活性成分的药理机制研究，开发具有自主知识产权的南药创新药物中间体。通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揭榜挂帅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攻关新能源、新一代电子信息等领域关键技术。</w:t>
      </w:r>
    </w:p>
    <w:p w14:paraId="57893EC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培育产业创新中心。培育建设新能源汽车、新型储能等关键产业创新平台。推动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“三新一电”</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等企业联合大湾区范围内的高校、科研机构等组建产业创新中心，整合研发设备、技术数据、人才团队等创新资源，重点突破产业链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卡脖子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技术与共性难题。锚定新能源汽车全产业链发展需求，高标准建设新能源汽车智能网联与电驱动系统创新平台；聚焦新型储能产业赛道，重点研发长时储能电池、储能系统集成等关键技术。</w:t>
      </w:r>
      <w:bookmarkEnd w:id="288"/>
      <w:bookmarkEnd w:id="289"/>
      <w:bookmarkEnd w:id="290"/>
      <w:bookmarkEnd w:id="291"/>
      <w:bookmarkEnd w:id="292"/>
      <w:bookmarkEnd w:id="293"/>
      <w:bookmarkEnd w:id="294"/>
      <w:bookmarkEnd w:id="295"/>
      <w:bookmarkEnd w:id="296"/>
      <w:bookmarkEnd w:id="297"/>
      <w:bookmarkEnd w:id="298"/>
      <w:bookmarkEnd w:id="299"/>
    </w:p>
    <w:p w14:paraId="559DF6D9">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09" w:name="_Toc266704186"/>
      <w:bookmarkStart w:id="310" w:name="_Toc11341"/>
      <w:bookmarkStart w:id="311" w:name="_Toc8078"/>
      <w:bookmarkStart w:id="312" w:name="_Toc2039970667"/>
      <w:bookmarkStart w:id="313" w:name="_Toc1967513298"/>
      <w:bookmarkStart w:id="314" w:name="_Toc22426"/>
      <w:bookmarkStart w:id="315" w:name="_Toc187046308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一体推进教育科技人才发展</w:t>
      </w:r>
      <w:bookmarkEnd w:id="309"/>
      <w:bookmarkEnd w:id="310"/>
      <w:bookmarkEnd w:id="311"/>
      <w:bookmarkEnd w:id="312"/>
      <w:bookmarkEnd w:id="313"/>
      <w:bookmarkEnd w:id="314"/>
      <w:bookmarkEnd w:id="315"/>
    </w:p>
    <w:p w14:paraId="0CFB433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加强人才协作，优化人才结构，促进科技自主创新和人才自主培养良性互动。</w:t>
      </w:r>
    </w:p>
    <w:p w14:paraId="0957456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精准引进高层次人才。强化科研机构、创新平台、企业、科技计划人才集聚培养功能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积极参与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百万英才汇南粤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行动，实施好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肇青</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工程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，聚焦新能源汽车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及零部件制造</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、新型储能、新材料、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电子信息等主导产业，定向引育科技领军人才、创新团队及博士（后）等高层次人才，力争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时期新引育博（硕）士研究生超5000名。深化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人才飞地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建设，积极对接广深港澳高校、科研院所人才团队，建设大湾区（肇庆）科学家小镇，全面推动产学研合作。</w:t>
      </w:r>
    </w:p>
    <w:p w14:paraId="3B5011F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引进培育技能型人才。强化高技能人才引进，力争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时期新引育高技能人才超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17</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000名。推行校企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双元制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联合培育产业工程师，推广肇庆高新区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一试三证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人才联合培养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、“博士双师制”等创新模式，落实“博士经纪人”机制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更多普通高校应届毕业生加入产业工程师队伍，建立卓越工程师后备库。聚焦中职人才培养，升级市技师学院产教融合示范基地，谋划建设市级公共实训基地，新增一批市级高技能人才培训基地、技能大师工作室。推行企业新型学徒制培训，支持企业开展技能等级自主评价，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肇庆工匠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品牌。聚焦端砚、玉器等文化传承发展，推动高校与行业协会共建端砚、玉器数字创意产业学院，开设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传统雕刻+数字设计+电商运营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微专业，创新人才培养和认证模式。</w:t>
      </w:r>
    </w:p>
    <w:p w14:paraId="607BD41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全面优化人才发展环境。加快建设人才友好型城市，充分发挥大湾区（肇庆）人才港效能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高新区、肇庆新区、大型产业集聚区等地优化布局人才公寓等设施，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人才服务体系，覆盖配偶安置、医疗绿色通道等各种服务，建立人才诉求闭环解决机制。深化完善人才激励机制，建立以创新价值、业绩贡献为导向的人才分类评价体系，扩大企业人才自主评审权限。深化人才发展体制机制改革，健全人才评价体系，畅通高校、科研院所、企业人才交流通道。</w:t>
      </w:r>
    </w:p>
    <w:p w14:paraId="4F87A28C">
      <w:pPr>
        <w:widowControl w:val="0"/>
        <w:kinsoku/>
        <w:overflowPunct w:val="0"/>
        <w:autoSpaceDE/>
        <w:autoSpaceDN/>
        <w:adjustRightInd/>
        <w:snapToGrid/>
        <w:spacing w:line="24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372F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71" w:type="dxa"/>
            <w:vAlign w:val="center"/>
          </w:tcPr>
          <w:p w14:paraId="1DFB8167">
            <w:pPr>
              <w:widowControl w:val="0"/>
              <w:kinsoku/>
              <w:overflowPunct w:val="0"/>
              <w:autoSpaceDE/>
              <w:autoSpaceDN/>
              <w:adjustRightInd/>
              <w:snapToGrid/>
              <w:spacing w:line="400" w:lineRule="exact"/>
              <w:jc w:val="center"/>
              <w:rPr>
                <w:rFonts w:ascii="Times New Roman" w:hAnsi="Times New Roman" w:eastAsia="方正小标宋_GBK" w:cs="方正小标宋_GBK"/>
                <w:snapToGrid/>
                <w:color w:val="000000" w:themeColor="text1"/>
                <w:kern w:val="21"/>
                <w:sz w:val="30"/>
                <w:szCs w:val="30"/>
                <w14:textFill>
                  <w14:solidFill>
                    <w14:schemeClr w14:val="tx1"/>
                  </w14:solidFill>
                </w14:textFill>
              </w:rPr>
            </w:pPr>
            <w:r>
              <w:rPr>
                <w:rFonts w:hint="eastAsia" w:ascii="Times New Roman" w:hAnsi="Times New Roman" w:eastAsia="方正小标宋_GBK" w:cs="方正小标宋_GBK"/>
                <w:snapToGrid/>
                <w:color w:val="000000" w:themeColor="text1"/>
                <w:kern w:val="21"/>
                <w:sz w:val="30"/>
                <w:szCs w:val="30"/>
                <w14:textFill>
                  <w14:solidFill>
                    <w14:schemeClr w14:val="tx1"/>
                  </w14:solidFill>
                </w14:textFill>
              </w:rPr>
              <w:t>专栏</w:t>
            </w:r>
            <w:r>
              <w:rPr>
                <w:rFonts w:hint="eastAsia" w:ascii="Times New Roman" w:hAnsi="Times New Roman" w:eastAsia="方正小标宋_GBK" w:cs="方正小标宋_GBK"/>
                <w:snapToGrid/>
                <w:color w:val="000000" w:themeColor="text1"/>
                <w:kern w:val="21"/>
                <w:sz w:val="30"/>
                <w:szCs w:val="30"/>
                <w:lang w:eastAsia="zh-CN"/>
                <w14:textFill>
                  <w14:solidFill>
                    <w14:schemeClr w14:val="tx1"/>
                  </w14:solidFill>
                </w14:textFill>
              </w:rPr>
              <w:t>7：“十五五”时期肇庆市增强科技创新能力重点任务</w:t>
            </w:r>
          </w:p>
        </w:tc>
      </w:tr>
      <w:tr w14:paraId="3374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9071" w:type="dxa"/>
            <w:vAlign w:val="center"/>
          </w:tcPr>
          <w:p w14:paraId="2D813F40">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一、高鼎端科教创新走廊</w:t>
            </w:r>
          </w:p>
          <w:p w14:paraId="33DDDD92">
            <w:pPr>
              <w:widowControl w:val="0"/>
              <w:kinsoku/>
              <w:overflowPunct w:val="0"/>
              <w:autoSpaceDE/>
              <w:autoSpaceDN/>
              <w:adjustRightInd/>
              <w:snapToGrid/>
              <w:spacing w:line="400" w:lineRule="exact"/>
              <w:ind w:firstLine="560" w:firstLineChars="200"/>
              <w:jc w:val="both"/>
              <w:rPr>
                <w:rFonts w:ascii="Times New Roman" w:hAnsi="Times New Roman" w:eastAsia="方正小标宋_GBK" w:cs="方正小标宋_GBK"/>
                <w:snapToGrid/>
                <w:color w:val="000000" w:themeColor="text1"/>
                <w:kern w:val="21"/>
                <w:sz w:val="30"/>
                <w:szCs w:val="30"/>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立足服务粤港澳大湾区国际科技创新中心建设全局，将高鼎端科教创新走廊打造成为引领肇庆创新驱动发展的战略主轴与核心引擎，着力构建创新要素高效流动、创新主体紧密联动、创新成果加速涌现的区域协同发展新格局。全面建成并高水平运营全市科研仪器与科技成果共享服务平</w:t>
            </w:r>
          </w:p>
        </w:tc>
      </w:tr>
      <w:tr w14:paraId="437A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5" w:hRule="atLeast"/>
          <w:jc w:val="center"/>
        </w:trPr>
        <w:tc>
          <w:tcPr>
            <w:tcW w:w="9071" w:type="dxa"/>
            <w:vAlign w:val="center"/>
          </w:tcPr>
          <w:p w14:paraId="7E738DBD">
            <w:pPr>
              <w:widowControl w:val="0"/>
              <w:kinsoku/>
              <w:overflowPunct w:val="0"/>
              <w:autoSpaceDE/>
              <w:autoSpaceDN/>
              <w:adjustRightInd/>
              <w:snapToGrid/>
              <w:spacing w:line="400" w:lineRule="exact"/>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台，有效降低区域创新成本。聚焦新能源汽车、电子信息、生物医药等重点产业领域，布局实施一批产学研协同攻关项目，增强产业链供应链自主可控能力。深入推进产教科融合发展，支持肇庆学院“改大申博”与特色学科建设，助力肇庆医学院提升医学研究与南药创新研发能力，推动广州应用科技学院“三园融合”基地建设，促进教育链、人才链与产业链、创新链深度融合。</w:t>
            </w:r>
          </w:p>
          <w:p w14:paraId="62A3C99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二、高能级创新平台建设</w:t>
            </w:r>
          </w:p>
          <w:p w14:paraId="2FF18C1D">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对标国家和省级重大战略需求，以提升产业创新策源能力为核心，坚持前沿布局与存量优化并举，着力构建层级分明、功能互补的高能级创新平台体系。支持骨干企业自建或联合高校院所共建一批实验室、工程技术（研究）中心、企业技术中心等创新平台，并积极争创国家和省级创新平台，壮大战略科技力量储备。支持现有平台加强规范运营，紧密对接产业需求，提升自我造血功能与服务产业效能。</w:t>
            </w:r>
          </w:p>
          <w:p w14:paraId="59944662">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三、创新主体培育</w:t>
            </w:r>
          </w:p>
          <w:p w14:paraId="57CDAD0D">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1.完善“科技型中小企业—高新技术企业—标杆高新技术企业”梯度培育体系，持续扩大科技型企业培育库规模，全力做好科技型中小企业评价入库和高新技术企业认定的辅导和管理。</w:t>
            </w:r>
          </w:p>
          <w:p w14:paraId="2AB41B02">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2.依托技术转移机构和行业协会等力量，重点服务“四上”企业、农业企业提高研发活动和发明专利覆盖率，促进“四上”企业、农业企业与高新技术企业双向发展。</w:t>
            </w:r>
          </w:p>
          <w:p w14:paraId="103080B7">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宋体"/>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3.全</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面落实创新惠企政策，强化政策宣贯与落地实效，落实高新技术企业所得税减免、增值税加计抵减、企业研发费用税前加计扣除等惠企政策。</w:t>
            </w:r>
          </w:p>
        </w:tc>
      </w:tr>
    </w:tbl>
    <w:p w14:paraId="1F7BCE5D">
      <w:pPr>
        <w:pStyle w:val="8"/>
        <w:widowControl w:val="0"/>
        <w:kinsoku/>
        <w:overflowPunct w:val="0"/>
        <w:autoSpaceDE/>
        <w:autoSpaceDN/>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5E453096">
      <w:pPr>
        <w:widowControl w:val="0"/>
        <w:kinsoku/>
        <w:overflowPunct w:val="0"/>
        <w:autoSpaceDE/>
        <w:autoSpaceDN/>
        <w:adjustRightInd/>
        <w:snapToGrid/>
        <w:spacing w:line="590" w:lineRule="exact"/>
        <w:jc w:val="center"/>
        <w:textAlignment w:val="auto"/>
        <w:outlineLvl w:val="0"/>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pPr>
      <w:bookmarkStart w:id="316" w:name="_Toc11781"/>
      <w:bookmarkStart w:id="317" w:name="_Toc481096215"/>
      <w:bookmarkStart w:id="318" w:name="_Toc27762"/>
      <w:bookmarkStart w:id="319" w:name="_Toc247200049"/>
      <w:bookmarkStart w:id="320" w:name="_Toc551773503"/>
      <w:bookmarkStart w:id="321" w:name="_Toc1972450450"/>
      <w:bookmarkStart w:id="322" w:name="_Toc29456"/>
      <w:bookmarkStart w:id="323" w:name="_Toc13502"/>
      <w:r>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br w:type="page"/>
      </w:r>
    </w:p>
    <w:p w14:paraId="2BAEEC8E">
      <w:pPr>
        <w:pStyle w:val="3"/>
        <w:keepNext w:val="0"/>
        <w:keepLines w:val="0"/>
        <w:widowControl w:val="0"/>
        <w:kinsoku/>
        <w:overflowPunct w:val="0"/>
        <w:autoSpaceDE/>
        <w:autoSpaceDN/>
        <w:adjustRightInd/>
        <w:snapToGrid/>
        <w:spacing w:before="0" w:after="0" w:line="400" w:lineRule="exact"/>
        <w:ind w:firstLine="640" w:firstLineChars="200"/>
        <w:jc w:val="both"/>
        <w:textAlignment w:val="auto"/>
        <w:rPr>
          <w:rFonts w:ascii="Times New Roman" w:hAnsi="Times New Roman" w:eastAsia="方正小标宋简体" w:cs="方正小标宋简体"/>
          <w:b w:val="0"/>
          <w:snapToGrid/>
          <w:color w:val="000000" w:themeColor="text1"/>
          <w:kern w:val="21"/>
          <w:sz w:val="32"/>
          <w:szCs w:val="32"/>
          <w:lang w:eastAsia="zh-CN"/>
          <w14:textFill>
            <w14:solidFill>
              <w14:schemeClr w14:val="tx1"/>
            </w14:solidFill>
          </w14:textFill>
        </w:rPr>
      </w:pPr>
    </w:p>
    <w:p w14:paraId="0A2EEF71">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五</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推动人工智能技术全面应用，加快建设</w:t>
      </w:r>
      <w:bookmarkEnd w:id="316"/>
      <w:bookmarkEnd w:id="317"/>
      <w:bookmarkEnd w:id="318"/>
      <w:bookmarkStart w:id="324" w:name="_Toc25452"/>
      <w:bookmarkStart w:id="325" w:name="_Toc996919259"/>
      <w:bookmarkStart w:id="326" w:name="_Toc27298"/>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数</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字</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肇庆</w:t>
      </w:r>
      <w:bookmarkEnd w:id="319"/>
      <w:bookmarkEnd w:id="320"/>
      <w:bookmarkEnd w:id="321"/>
      <w:bookmarkEnd w:id="322"/>
      <w:bookmarkEnd w:id="323"/>
      <w:bookmarkEnd w:id="324"/>
      <w:bookmarkEnd w:id="325"/>
      <w:bookmarkEnd w:id="326"/>
    </w:p>
    <w:p w14:paraId="1315473E">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7C6F2B6E">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度融入“数字湾区”建设，推进城市全域数字化转型试点建设，以数据要素价值化为核心引擎，统筹推进数字经济、数字政府、数字社会协同发展，推动人工智能技术全面应用，构建“制度完善、底座坚实、产业繁荣、服务优质、安全可控”的数字肇庆新格局。</w:t>
      </w:r>
    </w:p>
    <w:p w14:paraId="31F8E100">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27" w:name="_Toc1078545040"/>
      <w:bookmarkStart w:id="328" w:name="_Toc1171617449"/>
      <w:bookmarkStart w:id="329" w:name="_Toc345112393"/>
      <w:bookmarkStart w:id="330" w:name="_Toc2144917083"/>
      <w:bookmarkStart w:id="331" w:name="_Toc14678"/>
      <w:bookmarkStart w:id="332" w:name="_Toc15182"/>
      <w:bookmarkStart w:id="333" w:name="_Toc14776"/>
      <w:bookmarkStart w:id="334" w:name="_Toc572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深入推进数据要素价值化</w:t>
      </w:r>
      <w:bookmarkEnd w:id="327"/>
      <w:bookmarkEnd w:id="328"/>
      <w:bookmarkEnd w:id="329"/>
      <w:bookmarkEnd w:id="330"/>
      <w:bookmarkEnd w:id="331"/>
      <w:bookmarkEnd w:id="332"/>
      <w:bookmarkEnd w:id="333"/>
      <w:bookmarkEnd w:id="334"/>
    </w:p>
    <w:p w14:paraId="250A7CAA">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释放数据要素潜能，加快培育数据要素市场、提升社会数据资源价值，推动数据要素更好融入经济循环。</w:t>
      </w:r>
    </w:p>
    <w:p w14:paraId="1E4170BB">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构建公共数据开发利用体系。聚焦公共数据价值释放，打造全链条开发利用机制。夯实数据资源基础，开展全市公共数据资源普查，形成公共数据“一本账”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探索公共数据分级分类管理，建立数据实时监测、动态纠错、合规处理制度。优化共享开放机制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省“一网共享”平台肇庆分节点，完善《肇庆市公共数据共享管理指引》，制定《肇庆市公共数据开放管理指引》，在安全合规前提下，推动民生服务、生态环境、交通出行等领域数据向社会有序开放。围绕产权登记、定价核算、收益激励、监督评估四大核心，出台产权登记实施细则、评价激励指引、收益分配办法、安全管理细则等配套文件，确保公共数据“安全流通、合规开发”。</w:t>
      </w:r>
    </w:p>
    <w:p w14:paraId="327A8D5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公共数据与企业数据融合赋能。深化重点领域融合应用，推动公共数据运营机构开展场景需求常态化调研，持续推进“数据要素×医疗健康”、“数据要素×交通出行”等专项行动，在政府侧围绕政务服务、社会治理、领导决策等重点领域，推动公</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共数据融合应用，提升政府治理体系和治理能力现代化。在企业侧围绕经营管理、产业协同、金融服务等重点领域，发挥龙头企业带动作用，推动公共数据与企业数据融合，支撑企业“智改数转”。</w:t>
      </w:r>
    </w:p>
    <w:p w14:paraId="0FC6D53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 xml:space="preserve">培育数据要素市场生态。壮大市场主体队伍，成立肇庆市数据要素行业协会，发挥广州数据交易所（肇庆）服务基地引领作用，培育适配本地产业需求的数商，发展数据经纪人、第三方检测评估机构，完善数据交易撮合、中介担保、资产评估、合规审计等配套服务，构建“数据商+服务商+经纪人”多元生态。支持本地高校与企业联合开设数据要素交叉学科，推动专业人才流动与资格互认。  </w:t>
      </w:r>
    </w:p>
    <w:p w14:paraId="554A6C00">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35" w:name="_Toc11845"/>
      <w:bookmarkStart w:id="336" w:name="_Toc31126"/>
      <w:bookmarkStart w:id="337" w:name="_Toc901920896"/>
      <w:bookmarkStart w:id="338" w:name="_Toc1561209759"/>
      <w:bookmarkStart w:id="339" w:name="_Toc3613"/>
      <w:bookmarkStart w:id="340" w:name="_Toc13085"/>
      <w:bookmarkStart w:id="341" w:name="_Toc1724393419"/>
      <w:bookmarkStart w:id="342" w:name="_Toc110734840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夯实数字基础支撑底座</w:t>
      </w:r>
      <w:bookmarkEnd w:id="335"/>
      <w:bookmarkEnd w:id="336"/>
      <w:bookmarkEnd w:id="337"/>
      <w:bookmarkEnd w:id="338"/>
      <w:bookmarkEnd w:id="339"/>
      <w:bookmarkEnd w:id="340"/>
      <w:bookmarkEnd w:id="341"/>
      <w:bookmarkEnd w:id="342"/>
    </w:p>
    <w:p w14:paraId="3729371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以构建“高速泛在、智能协同、安全可靠”的数字基础设施体系为目标，统筹推进通信网络升级与智能算力布局，全面提升数字基础设施承载能力和服务效能。</w:t>
      </w:r>
    </w:p>
    <w:p w14:paraId="75E3810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升级通信基础设施。以“全域覆盖、多业适配、跨域互联”为目标，到2030年，5G基站总数达1.2万座，实现城乡区域深度覆盖、主要工业园区信号100%覆盖，重点保障产业集聚区、交通枢纽等关键区域网络下行速率稳定超1Gbps；推进千兆光纤宽带网络升级，实现城区家庭、工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教育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医疗等领域场景千兆光网全覆盖。加快5G—A网络规模化部署、6G网络试点，推进“千城千兆”工程。同步升级政务外网关键网络节点，支撑万兆网络。</w:t>
      </w:r>
    </w:p>
    <w:p w14:paraId="14B3853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构建智能算力供给体系。遵循“需求牵引、适度超前”原则，构建智能算力供给体系，发展存算一体的先进算力，到2030年，建成绿色集约的“城市算力中心”，实现智能算力规模与城市能级相匹配，主动融入全国一体化算力网，并按需部署边缘算力节点，促进算力资源的高效供给与普惠使用。</w:t>
      </w:r>
    </w:p>
    <w:p w14:paraId="4D09082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数据应用设施建设。持续建设公共数据授权运营平台，为公共数据实现流通交易提供技术保障和安全支撑。推动建设可信数据空间，推动数据在城市、行业、企业间的高效可信流通。探索建设“AI赋能平台”，降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全社会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智能化转型门槛。探索建设低空数据平台，打造全市低空活动的“交通管理系统”和低空经济的“公共服务平台”。推动建设数据安全态势感知平台，打造全市“安全大脑”和“指挥中心”。</w:t>
      </w:r>
    </w:p>
    <w:p w14:paraId="30493AC6">
      <w:pPr>
        <w:widowControl w:val="0"/>
        <w:numPr>
          <w:ilvl w:val="255"/>
          <w:numId w:val="0"/>
        </w:numPr>
        <w:kinsoku/>
        <w:overflowPunct w:val="0"/>
        <w:autoSpaceDE/>
        <w:autoSpaceDN/>
        <w:adjustRightInd/>
        <w:snapToGrid/>
        <w:spacing w:before="218" w:beforeLines="70" w:after="218" w:afterLines="7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43" w:name="_Toc15054"/>
      <w:bookmarkStart w:id="344" w:name="_Toc683646736"/>
      <w:bookmarkStart w:id="345" w:name="_Toc986373737"/>
      <w:bookmarkStart w:id="346" w:name="_Toc26773"/>
      <w:bookmarkStart w:id="347" w:name="_Toc3859"/>
      <w:bookmarkStart w:id="348" w:name="_Toc8801"/>
      <w:bookmarkStart w:id="349" w:name="_Toc581769384"/>
      <w:bookmarkStart w:id="350" w:name="_Toc114287579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推进产业数字化和数字产业化</w:t>
      </w:r>
      <w:bookmarkEnd w:id="343"/>
      <w:bookmarkEnd w:id="344"/>
      <w:bookmarkEnd w:id="345"/>
      <w:bookmarkEnd w:id="346"/>
      <w:bookmarkEnd w:id="347"/>
      <w:bookmarkEnd w:id="348"/>
      <w:bookmarkEnd w:id="349"/>
      <w:bookmarkEnd w:id="350"/>
    </w:p>
    <w:p w14:paraId="72D1359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以制造业、服务业、农业等传统产业深度转型升级需求为牵引，推进产业数字化和数字产业化协同发展，推进数字技术创新和产业创新深度融合。</w:t>
      </w:r>
    </w:p>
    <w:p w14:paraId="312111C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产业数字化转型。聚焦优势产业，实施数字化转型赋能工程。引导</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传统产业</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开展生产设备智能化改造，推广工业机器人、智能传感器等智能装备应用，建设智能生产线、智能车间。深化工业互联网平台应用，依托华为（肇庆）工业互联网创新中心、肇庆汇睿大数据中心等载体，为企业提供生产调度优化、质量检测、能耗管理等数字化解决方案。推动产业链数字化协同，鼓励企业搭建产业链数字化平台，带动上下游中小企业融入数字化转型浪潮，提升产业链整体效率。</w:t>
      </w:r>
    </w:p>
    <w:p w14:paraId="451F9E4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壮大数字产业化规模</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。围绕大数据、人工智能、跨境电商、物联网等数字核心产业，瞄准国内外细分领域领军企业、独角兽企业，开展精准招商，力争引进1</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2家具有生态主导力的龙头企业，带动一批配套企业集聚。建设省综合数据标注基地，重点拓展新能源汽车自动驾驶、智能医疗影像识别、工业质检等领域标注服务。在全市谋划建立若干个数据要素产业园，根据各地发展水平、产业结构、资源禀赋进行差异化布局，分别引育一批数据资源、数据技术、数据服务、数据安全、数据基础设施企业，在此基础上创建数据要素集聚发展区，促进数据产业在城市集聚，推动城市全域数字化转型。深化与粤港澳大湾区核心城市数字产业协同，承接广深港澳数字产业外溢资源，合作开展数字技术研发与应用创新，推动数字产品与服务迭代升级。在肇庆高新区布局建设数字大旺创新实验室，强化数据产品开发与场景应用攻坚，支持肇庆高新区谋划建设大南山（龙湖）数字经济产业区。</w:t>
      </w:r>
    </w:p>
    <w:p w14:paraId="5B99CB96">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51" w:name="_Toc8197"/>
      <w:bookmarkStart w:id="352" w:name="_Toc28292"/>
      <w:bookmarkStart w:id="353" w:name="_Toc1688331355"/>
      <w:bookmarkStart w:id="354" w:name="_Toc198433848"/>
      <w:bookmarkStart w:id="355" w:name="_Toc1236747913"/>
      <w:bookmarkStart w:id="356" w:name="_Toc727083007"/>
      <w:bookmarkStart w:id="357" w:name="_Toc7364"/>
      <w:bookmarkStart w:id="358" w:name="_Toc1616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加快建设数字政府与数字社会</w:t>
      </w:r>
      <w:bookmarkEnd w:id="351"/>
      <w:bookmarkEnd w:id="352"/>
      <w:bookmarkEnd w:id="353"/>
      <w:bookmarkEnd w:id="354"/>
      <w:bookmarkEnd w:id="355"/>
      <w:bookmarkEnd w:id="356"/>
      <w:bookmarkEnd w:id="357"/>
      <w:bookmarkEnd w:id="358"/>
    </w:p>
    <w:p w14:paraId="449292BB">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以数字化转型驱动治理效能提升和民生福祉增进，统筹推进数字政府与数字社会协同建设，构建普惠便捷、智能有序的数字治理与服务生态。</w:t>
      </w:r>
    </w:p>
    <w:p w14:paraId="12C6B6DE">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建设高效协同数字政府。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推进政务服务标准化、规范化、便利化，丰富“粤省事”肇庆专版、“全肇办”等平台服务矩阵，运用人工智能技术分析办事堵点，实现政策服务个性化精准推送。优化数字政务服务体系，深化“一网通办”改革，持续优化市统一申办受理平台功能，以数据赋能推动更多政务服务事项“集成办”。强化“一网统管”建设，完善城市运行管理中心建设，打造集成化“数字驾驶舱”。推进“一网共享”建设，建立政务数据共享交换机制，制定完善数据共享目录与标准规范，推动经济调节、市场监管、公共服务等领域核心数据依法有序流动，实现政务数据可共享复用。</w:t>
      </w:r>
    </w:p>
    <w:p w14:paraId="1E69C56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提升数字社会服务效能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。优化普惠数字公共服务，</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推动教育、医疗、养老、社保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、交通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等公共服务领域数字化升级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高品质数字生活，优化数字文化服务，推广数字艺术、数字创意等新业态。推进数智化体旅协同发展，推动体育场馆智能化升级，推广云上健身、低空运动等创新场景。升级数字消费场景，拓展体验消费、个性消费等人工智能服务场景。提升社会治理数字化水平，构建科技支撑、公众参与、法治保障的治理体系。强化基层智治能力，完善“社区—网格—微网格”治理体系，推动数字乡村省级试点建设。</w:t>
      </w:r>
    </w:p>
    <w:p w14:paraId="63122D20">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59" w:name="_Toc10989045"/>
      <w:bookmarkStart w:id="360" w:name="_Toc618064596"/>
      <w:bookmarkStart w:id="361" w:name="_Toc18603"/>
      <w:bookmarkStart w:id="362" w:name="_Toc6398"/>
      <w:bookmarkStart w:id="363" w:name="_Toc1633605548"/>
      <w:bookmarkStart w:id="364" w:name="_Toc16729"/>
      <w:bookmarkStart w:id="365" w:name="_Toc521524121"/>
      <w:bookmarkStart w:id="366" w:name="_Toc1235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拓展“人工智能+”场景应用</w:t>
      </w:r>
      <w:bookmarkEnd w:id="359"/>
      <w:bookmarkEnd w:id="360"/>
      <w:bookmarkEnd w:id="361"/>
      <w:bookmarkEnd w:id="362"/>
      <w:bookmarkEnd w:id="363"/>
      <w:bookmarkEnd w:id="364"/>
      <w:bookmarkEnd w:id="365"/>
      <w:bookmarkEnd w:id="366"/>
    </w:p>
    <w:p w14:paraId="04B513D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全面拓展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融合应用深度与广度，推动人工智能技术从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单点突破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系统赋能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转变，加速形成一批可复制、可推广的应用范式</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6925451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人工智能+现代农业。支持农业人工智能科研成果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入县达镇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，引导科技创新资源向县域乡镇集聚，加快发展农业新质生产力。聚焦南药、柑橘、水产等特色产业，部署农产品AI分选设备。搭建农业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单品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大数据平台，融合气象、土壤、市场数据开发</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产量预测、价格预警模型，助力乡村产业数字化升级。支持国家农业气象试验站建设，初步构建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地空天</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一体化综合观测系统</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p>
    <w:p w14:paraId="7C541ED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工业制造。推动制造业智能化转型，以新能源汽车及零部件制造、新一代电子信息等优势产业为核心，依托肇庆汇睿大数据中心模型架构，升级华为（肇庆）工业互联网创新中心服务能力，为工业企业提供AI定制化解决方案。加快在小鹏智能智造研究院等平台推动智能产线改造。建设新能源汽车行业数据可信空间，融合政企数据开发供应链风险预警、电池寿命预测等AI模型。深化智能工厂梯度培育，加速全流程转型升级。</w:t>
      </w:r>
    </w:p>
    <w:p w14:paraId="6C633BF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现代服务</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文旅、家政、物流、商贸等现代服务业重点领域，拓展人工智能融合应用场景。推动人工智能与文旅融合，开发智能化服务产品，优化文旅资源配置与服务体验。赋能家政服务数字化升级，依托特色服务品牌构建智能化服务体系，提升服务匹配效率与质量。立足门户枢纽优势，以人工智能优化物流资源调度与仓储管理，提升物流运输协同效能。推动商贸领域智能化转型，培育数字化商贸新业态，助力消费升级与产业提质。大力培育智能原生新业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，支持人工智能“一人公司（OPC）”创新创业模式。</w:t>
      </w:r>
    </w:p>
    <w:p w14:paraId="00090158">
      <w:pPr>
        <w:widowControl w:val="0"/>
        <w:kinsoku/>
        <w:overflowPunct w:val="0"/>
        <w:autoSpaceDE/>
        <w:autoSpaceDN/>
        <w:adjustRightInd/>
        <w:snapToGrid/>
        <w:spacing w:after="156" w:afterLines="50" w:line="590" w:lineRule="exact"/>
        <w:ind w:firstLine="640" w:firstLineChars="200"/>
        <w:jc w:val="both"/>
        <w:textAlignment w:val="auto"/>
        <w:rPr>
          <w:rFonts w:ascii="Times New Roman" w:hAnsi="Times New Roman" w:eastAsia="仿宋_GB2312"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人工智能+社会治理。</w:t>
      </w:r>
      <w:bookmarkStart w:id="367" w:name="_Toc886030888"/>
      <w:bookmarkEnd w:id="367"/>
      <w:bookmarkStart w:id="368" w:name="_Toc632329047"/>
      <w:bookmarkEnd w:id="368"/>
      <w:bookmarkStart w:id="369" w:name="_Toc2439"/>
      <w:bookmarkEnd w:id="369"/>
      <w:bookmarkStart w:id="370" w:name="_Toc1027132124"/>
      <w:bookmarkEnd w:id="370"/>
      <w:bookmarkStart w:id="371" w:name="_Toc18047"/>
      <w:bookmarkEnd w:id="371"/>
      <w:bookmarkStart w:id="372" w:name="_Toc2089070861"/>
      <w:bookmarkEnd w:id="372"/>
      <w:bookmarkStart w:id="373" w:name="_Toc834278787"/>
      <w:bookmarkEnd w:id="373"/>
      <w:bookmarkStart w:id="374" w:name="_Toc3099"/>
      <w:bookmarkEnd w:id="374"/>
      <w:bookmarkStart w:id="375" w:name="_Toc1592340433"/>
      <w:bookmarkEnd w:id="375"/>
      <w:bookmarkStart w:id="376" w:name="_Toc2115602973"/>
      <w:bookmarkEnd w:id="376"/>
      <w:bookmarkStart w:id="377" w:name="_Toc29828"/>
      <w:bookmarkEnd w:id="377"/>
      <w:bookmarkStart w:id="378" w:name="_Toc1241076480"/>
      <w:bookmarkStart w:id="379" w:name="_Toc1588152467"/>
      <w:bookmarkStart w:id="380" w:name="_Toc855695961"/>
      <w:bookmarkStart w:id="381" w:name="_Toc3350"/>
      <w:bookmarkStart w:id="382" w:name="_Toc1372616914"/>
      <w:bookmarkStart w:id="383" w:name="_Toc2230"/>
      <w:bookmarkStart w:id="384" w:name="_Toc687918536"/>
      <w:bookmarkStart w:id="385" w:name="_Toc249991396"/>
      <w:bookmarkStart w:id="386" w:name="_Toc17501"/>
      <w:bookmarkStart w:id="387" w:name="_Toc547"/>
      <w:bookmarkStart w:id="388" w:name="_Toc1317354307"/>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推动社会治理体系架构、运行机制、工作流程、业务场景的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化转型。健全矛盾纠纷在线化解机制，完善智慧法院运行体系。建立智慧应急指挥调度机制，完善一体化应急管理平台，提升城市风险防控和精细化治理能力。建设智慧社区与数字乡村，推进基层治理数字化转型。</w:t>
      </w:r>
      <w:bookmarkEnd w:id="378"/>
      <w:bookmarkEnd w:id="379"/>
      <w:bookmarkEnd w:id="380"/>
      <w:bookmarkEnd w:id="381"/>
      <w:bookmarkEnd w:id="382"/>
      <w:bookmarkEnd w:id="383"/>
      <w:bookmarkEnd w:id="384"/>
      <w:bookmarkEnd w:id="385"/>
      <w:bookmarkEnd w:id="386"/>
      <w:bookmarkEnd w:id="387"/>
      <w:bookmarkEnd w:id="388"/>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1D33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71" w:type="dxa"/>
            <w:vAlign w:val="center"/>
          </w:tcPr>
          <w:p w14:paraId="38DA8771">
            <w:pPr>
              <w:widowControl w:val="0"/>
              <w:kinsoku/>
              <w:overflowPunct w:val="0"/>
              <w:autoSpaceDE/>
              <w:autoSpaceDN/>
              <w:adjustRightInd/>
              <w:snapToGrid/>
              <w:spacing w:line="400" w:lineRule="exact"/>
              <w:jc w:val="center"/>
              <w:rPr>
                <w:rFonts w:ascii="Times New Roman" w:hAnsi="Times New Roman" w:eastAsia="黑体" w:cs="Times New Roman"/>
                <w:snapToGrid/>
                <w:color w:val="000000" w:themeColor="text1"/>
                <w:kern w:val="21"/>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8</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数字肇庆建设重点任务</w:t>
            </w:r>
          </w:p>
        </w:tc>
      </w:tr>
      <w:tr w14:paraId="6E95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0" w:hRule="atLeast"/>
          <w:jc w:val="center"/>
        </w:trPr>
        <w:tc>
          <w:tcPr>
            <w:tcW w:w="9071" w:type="dxa"/>
            <w:vAlign w:val="center"/>
          </w:tcPr>
          <w:p w14:paraId="6FD9BFB5">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一、数据要素价值化</w:t>
            </w:r>
          </w:p>
          <w:p w14:paraId="24090F4D">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深入推进公共数据开发利用，实施</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数据要素×医疗健康</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数据要素×交通出行</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等改革。</w:t>
            </w:r>
          </w:p>
          <w:p w14:paraId="256D4761">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二、数字基础底座</w:t>
            </w:r>
          </w:p>
          <w:p w14:paraId="70603032">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开展肇庆市数据基础设施及应用、肇庆市城市全域数字化转型等重点项目建设，夯实数字基础底座。</w:t>
            </w:r>
          </w:p>
          <w:p w14:paraId="603FAF16">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三、数字经济</w:t>
            </w:r>
          </w:p>
          <w:p w14:paraId="0C45DD5F">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1.培育壮大数据产业，开展数据企业认定，推进数据要素集聚区建设。</w:t>
            </w:r>
          </w:p>
          <w:p w14:paraId="6BD92756">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2.构建数字经济监测指标体系，建立规上数字经济企业名录库、培育库，提升数字经济核心产业增加值占GDP比重。</w:t>
            </w:r>
          </w:p>
          <w:p w14:paraId="45D7111D">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四、数字政府</w:t>
            </w:r>
          </w:p>
          <w:p w14:paraId="1FBD63ED">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1.优化市统一申办受理平台，推进政务服务事项标准化、规范化建设，实现更多高频事项</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网上办、掌上办、一次办</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53FAA415">
            <w:pPr>
              <w:widowControl w:val="0"/>
              <w:kinsoku/>
              <w:overflowPunct w:val="0"/>
              <w:autoSpaceDE/>
              <w:autoSpaceDN/>
              <w:adjustRightInd/>
              <w:snapToGrid/>
              <w:spacing w:line="380" w:lineRule="exact"/>
              <w:ind w:firstLine="560" w:firstLineChars="200"/>
              <w:jc w:val="both"/>
              <w:rPr>
                <w:rFonts w:ascii="Times New Roman" w:hAnsi="Times New Roman" w:cs="Times New Roman"/>
                <w:snapToGrid/>
                <w:color w:val="000000" w:themeColor="text1"/>
                <w:kern w:val="21"/>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2.聚焦企业全生命周期需求，整合跨部门业务流程，减少办事环节与材料提交，推出更多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一件事</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主题服务套餐。</w:t>
            </w:r>
          </w:p>
        </w:tc>
      </w:tr>
    </w:tbl>
    <w:p w14:paraId="697F4D95">
      <w:pPr>
        <w:pStyle w:val="8"/>
        <w:widowControl w:val="0"/>
        <w:kinsoku/>
        <w:overflowPunct w:val="0"/>
        <w:autoSpaceDE/>
        <w:autoSpaceDN/>
        <w:adjustRightInd/>
        <w:snapToGrid/>
        <w:spacing w:after="0" w:line="400" w:lineRule="exact"/>
        <w:rPr>
          <w:rFonts w:ascii="Times New Roman" w:hAnsi="Times New Roman" w:eastAsia="方正仿宋_GBK"/>
          <w:snapToGrid/>
          <w:color w:val="000000" w:themeColor="text1"/>
          <w:kern w:val="21"/>
          <w:lang w:eastAsia="zh-CN"/>
          <w14:textFill>
            <w14:solidFill>
              <w14:schemeClr w14:val="tx1"/>
            </w14:solidFill>
          </w14:textFill>
        </w:rPr>
      </w:pPr>
    </w:p>
    <w:p w14:paraId="3C54E219">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389" w:name="_Toc625849521"/>
      <w:bookmarkStart w:id="390" w:name="_Toc869480517"/>
      <w:bookmarkStart w:id="391" w:name="_Toc26831"/>
      <w:bookmarkStart w:id="392" w:name="_Toc1373548515"/>
      <w:bookmarkStart w:id="393" w:name="_Toc2823"/>
      <w:bookmarkStart w:id="394" w:name="_Toc29153"/>
      <w:bookmarkStart w:id="395" w:name="_Toc6518"/>
      <w:bookmarkStart w:id="396" w:name="_Toc1386626523"/>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第六章  建设现代化基础设施体系，强化支撑保障作用</w:t>
      </w:r>
      <w:bookmarkEnd w:id="389"/>
      <w:bookmarkEnd w:id="390"/>
      <w:bookmarkEnd w:id="391"/>
      <w:bookmarkEnd w:id="392"/>
      <w:bookmarkEnd w:id="393"/>
      <w:bookmarkEnd w:id="394"/>
      <w:bookmarkEnd w:id="395"/>
      <w:bookmarkEnd w:id="396"/>
    </w:p>
    <w:p w14:paraId="7E28BDCA">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p>
    <w:p w14:paraId="229D906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着力完善基础设施布局、结构和功能，加快构建先进适用、系统完备、集约高效、安全绿色的现代化基础设施体系。</w:t>
      </w:r>
    </w:p>
    <w:p w14:paraId="79F11D79">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397" w:name="_Toc8303"/>
      <w:bookmarkStart w:id="398" w:name="_Toc1238103461"/>
      <w:bookmarkStart w:id="399" w:name="_Toc9066"/>
      <w:bookmarkStart w:id="400" w:name="_Toc1018454402"/>
      <w:bookmarkStart w:id="401" w:name="_Toc27509"/>
      <w:bookmarkStart w:id="402" w:name="_Toc28481"/>
      <w:bookmarkStart w:id="403" w:name="_Toc225027145"/>
      <w:bookmarkStart w:id="404" w:name="_Toc66809234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构建现代化综合交通运输体系</w:t>
      </w:r>
      <w:bookmarkEnd w:id="397"/>
      <w:bookmarkEnd w:id="398"/>
      <w:bookmarkEnd w:id="399"/>
      <w:bookmarkEnd w:id="400"/>
      <w:bookmarkEnd w:id="401"/>
      <w:bookmarkEnd w:id="402"/>
      <w:bookmarkEnd w:id="403"/>
      <w:bookmarkEnd w:id="404"/>
    </w:p>
    <w:p w14:paraId="047C9B9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强化交通设施互联互通，加快建成内畅外联、衔接高效、功能完善的现代化综合立体交通网络。</w:t>
      </w:r>
    </w:p>
    <w:p w14:paraId="46260D48">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加快打造内通外联交通网络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。协同加快</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珠肇高铁、深南高铁等项目建设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积极争取柳广铁路动工建设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和启动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肇顺南城际</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铁路</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前期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研究</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工作，配合推进贵广高铁广宁联络线前期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研究</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工作，研究谋划新基湾疏港铁路项目。加快推进肇明高速、惠肇高速、佛肇云高速等项目建设，谋划推动江肇机场高速、广（宁）阳（山）高速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港口大道、</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至</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广州新</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机场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公路</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、肇庆新区至肇庆高新区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公路</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等一批东部干线路网建设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，推动交通疏堵保畅，推动高速公路繁忙路段扩容改造，加强佛山等地跨市瓶颈路、断头路治理，强化市际通道和城市出入口道路衔接，提升陆路交通一体化通达水平。</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加快G321</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、G324</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道及低等级</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道升级改造建设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，完善中心城区规划市政道路标准化建设，持续推进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四好农村路</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建设。到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期末，公路通车里程超</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14800</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公里。</w:t>
      </w:r>
    </w:p>
    <w:p w14:paraId="5ECCD41F">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加快西江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黄金水道</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扩能升级。</w:t>
      </w:r>
      <w:r>
        <w:rPr>
          <w:rFonts w:hint="eastAsia" w:ascii="Times New Roman" w:hAnsi="Times New Roman" w:eastAsia="方正仿宋_GBK" w:cs="Times New Roman Regular"/>
          <w:snapToGrid/>
          <w:color w:val="000000" w:themeColor="text1"/>
          <w:kern w:val="21"/>
          <w:sz w:val="32"/>
          <w:szCs w:val="32"/>
          <w14:textFill>
            <w14:solidFill>
              <w14:schemeClr w14:val="tx1"/>
            </w14:solidFill>
          </w14:textFill>
        </w:rPr>
        <w:t>依托西江航运干线通道，加快肇庆内河节点口岸建设，优化整合口岸资源，推进肇庆港口岸扩大开放，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探索</w:t>
      </w:r>
      <w:r>
        <w:rPr>
          <w:rFonts w:hint="eastAsia" w:ascii="Times New Roman" w:hAnsi="Times New Roman" w:eastAsia="方正仿宋_GBK" w:cs="Times New Roman Regular"/>
          <w:snapToGrid/>
          <w:color w:val="000000" w:themeColor="text1"/>
          <w:kern w:val="21"/>
          <w:sz w:val="32"/>
          <w:szCs w:val="32"/>
          <w14:textFill>
            <w14:solidFill>
              <w14:schemeClr w14:val="tx1"/>
            </w14:solidFill>
          </w14:textFill>
        </w:rPr>
        <w:t>联动北部湾、粤港澳大湾区等沿海口岸。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谋划</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推动《肇庆港总体规划</w:t>
      </w:r>
      <w:r>
        <w:rPr>
          <w:rFonts w:hint="eastAsia" w:ascii="Times New Roman" w:hAnsi="Times New Roman" w:eastAsia="方正仿宋_GBK" w:cs="Times New Roman Regular"/>
          <w:snapToGrid/>
          <w:color w:val="000000" w:themeColor="text1"/>
          <w:kern w:val="21"/>
          <w:sz w:val="32"/>
          <w:szCs w:val="32"/>
          <w14:textFill>
            <w14:solidFill>
              <w14:schemeClr w14:val="tx1"/>
            </w14:solidFill>
          </w14:textFill>
        </w:rPr>
        <w:t>（2035年）</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》开展修编，提升港口岸线资源利用水平</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推进德庆悦城、德庆九市、高要金岗等码头项目建设，谋划建设高要孔湾、德庆回龙、封开长岗（二期工程）等码头项目。积极配合谋划5000吨级西江肇庆至珠海出海航道扩能升级工程、贺江旅游特色航道工程。</w:t>
      </w:r>
    </w:p>
    <w:p w14:paraId="32F6EA6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积极参与大湾区世界级机场群建设。全面服务广州新机场建设，推动中心城区交通干线高效衔接机场，优化完善机场周边路网，加快构建机场周边综合交通运输体系。有序推进怀集通用机场前期工作，谋划四会市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、德庆</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县通用机场等更多通用机场布局。</w:t>
      </w:r>
    </w:p>
    <w:p w14:paraId="739B765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完善客货运枢纽布局。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肇庆站、肇庆东站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综合</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客运枢纽能级，完成珠肇高铁等新建线路的引入与衔接工程，实现高铁、城际的多网融合。以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空铁联运</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为核心</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配合建设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佛肇站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完善集疏运体系建设，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健全“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一单制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等多式联运发展机制，实现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物流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枢纽之间快速连通。</w:t>
      </w:r>
    </w:p>
    <w:p w14:paraId="4BB08799">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05" w:name="_Toc11941"/>
      <w:bookmarkStart w:id="406" w:name="_Toc2079150626"/>
      <w:bookmarkStart w:id="407" w:name="_Toc94407678"/>
      <w:bookmarkStart w:id="408" w:name="_Toc9096"/>
      <w:bookmarkStart w:id="409" w:name="_Toc26330"/>
      <w:bookmarkStart w:id="410" w:name="_Toc755013163"/>
      <w:bookmarkStart w:id="411" w:name="_Toc2031513177"/>
      <w:bookmarkStart w:id="412" w:name="_Toc698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加快新型能源基础设施建设</w:t>
      </w:r>
      <w:bookmarkEnd w:id="405"/>
      <w:bookmarkEnd w:id="406"/>
      <w:bookmarkEnd w:id="407"/>
      <w:bookmarkEnd w:id="408"/>
      <w:bookmarkEnd w:id="409"/>
      <w:bookmarkEnd w:id="410"/>
      <w:bookmarkEnd w:id="411"/>
      <w:bookmarkEnd w:id="412"/>
    </w:p>
    <w:p w14:paraId="5D2EA17B">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全面落实能源安全新战略，持续优化能源供给与能源结构，提升能源治理发展效能，加快建设粤港澳大湾区（肇庆）绿色能源基地。</w:t>
      </w:r>
    </w:p>
    <w:p w14:paraId="154A8BD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能源供给能力。完善天然气“全市一张网”输配体系，推动产业园区分布式能源站建设。推进一批新能源发电项目建成并网，持续提升电源装机容量。提升电网建设水平，加快推进藏东南至粤港澳大湾区特高压肇庆段动工建设，建成全市第三个500千伏枢纽变电站及配套线路工程，谋划推动第四个500千伏枢纽输变电工程纳规和开展前期工作。到“十五五”期末，电源装机规模超过1200万千瓦。加快推进LNG加气站布局建设，推进传统加油站向综合能源站转型</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22F8A63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优化能源供给结构。稳步提升非化石能源消费比重，进一步减少煤炭消费。壮大可再生能源发电规模，推动分布式光伏高质量发展，拓展光伏应用场景，利用工业园区、商业建筑、公共机构屋顶建设分布式光伏。加快广宁浪江抽水蓄能电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推进封开谠山、德庆石曹等抽水蓄能电站项目前期研究工作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合理布局新型储能电站。探索推动氢能、地热等新型能源发展，合理利用生物质能与垃圾发电。</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到“</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期末，确保可再生能源占比不低于51%。</w:t>
      </w:r>
    </w:p>
    <w:p w14:paraId="71DBDC8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能源治理现代化发展。积极融入全国、全省统一电力市场，落实全省煤电气电容量电价调整政策，推动新能源发电项目全面参与电力交易市场。完善能源价格调整机制，推进天然气上下游价格联动。开展燃气行业改革，加强城镇燃气经营管理，建立完善市场退出机制，进一步完善价格联动机制。落实《肇庆市燃气管理条例》，提升终端用能电气化水平，鼓励企业进行电能替代改造。扩大企业碳账户覆盖范围，推动更多重点耗能企业纳入碳账户管理。建设智慧能源监控平台，监测重点行业能耗数据，构建安全、清洁、高效的现代化能源支撑体系。</w:t>
      </w:r>
    </w:p>
    <w:p w14:paraId="35559942">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13" w:name="_Toc1735347978"/>
      <w:bookmarkStart w:id="414" w:name="_Toc24410"/>
      <w:bookmarkStart w:id="415" w:name="_Toc979985939"/>
      <w:bookmarkStart w:id="416" w:name="_Toc313584083"/>
      <w:bookmarkStart w:id="417" w:name="_Toc31536"/>
      <w:bookmarkStart w:id="418" w:name="_Toc1676517294"/>
      <w:bookmarkStart w:id="419" w:name="_Toc626"/>
      <w:bookmarkStart w:id="420" w:name="_Toc887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加快建设“大水网”水利基础设施</w:t>
      </w:r>
      <w:bookmarkEnd w:id="413"/>
      <w:bookmarkEnd w:id="414"/>
      <w:bookmarkEnd w:id="415"/>
      <w:bookmarkEnd w:id="416"/>
      <w:bookmarkEnd w:id="417"/>
      <w:bookmarkEnd w:id="418"/>
      <w:bookmarkEnd w:id="419"/>
      <w:bookmarkEnd w:id="420"/>
    </w:p>
    <w:p w14:paraId="23B74B47">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加</w:t>
      </w:r>
      <w:r>
        <w:rPr>
          <w:rFonts w:hint="eastAsia" w:ascii="Times New Roman" w:hAnsi="Times New Roman" w:eastAsia="方正仿宋_GBK" w:cs="仿宋_GB2312"/>
          <w:snapToGrid/>
          <w:color w:val="000000" w:themeColor="text1"/>
          <w:spacing w:val="6"/>
          <w:kern w:val="21"/>
          <w:sz w:val="32"/>
          <w:szCs w:val="32"/>
          <w:lang w:eastAsia="zh-CN" w:bidi="ar"/>
          <w14:textFill>
            <w14:solidFill>
              <w14:schemeClr w14:val="tx1"/>
            </w14:solidFill>
          </w14:textFill>
        </w:rPr>
        <w:t>快完善“大水网”水利基础设施建设，建设集防洪、供水、灌溉、生态保护等功能于一体的现代化水网</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，实现水利高质量发展。</w:t>
      </w:r>
    </w:p>
    <w:p w14:paraId="63E92AC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推进流域防洪体系建设。加快推动</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绥江重点中小河流防洪治理项目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建设，筑牢怀集</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、广宁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等重点地区防御洪涝灾害坚固防线。加强大江大河和中小河流治理，开展堤防达标加固，加强山洪灾害防治，实施</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重点区域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排涝能力提升工程。加快构建现代化雨水情监测预报体系，完善水旱灾害防御工作机制。到“十五五”期末，县城以上城市防洪能力全部达标，1—5级堤防达标率达90%。</w:t>
      </w:r>
    </w:p>
    <w:p w14:paraId="7B2A1B8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推进水资源配置体系建设。加强调蓄工程和水源工程建设，加强重要城镇备用水源工程建设。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加快完善怀集盆地水利设施，加快推进肇庆西部灌区前期工作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，持续</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高要区金龙高库、金龙低库</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和</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怀集县湖朗水库灌区等中型灌区续建配套与现代化改造。推进县级以上城市“双水源、双保障”建设，进一步完善和提升覆盖肇庆中心城区的西江、北江、绥江和九龙湖水库“四水联通”供水网络。持续推进农村供水三同五化提质升级，提高</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农村供水保障</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水平</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，到“十五五”期末，实现农村自来水普及率</w:t>
      </w:r>
      <w:r>
        <w:rPr>
          <w:rFonts w:hint="eastAsia" w:ascii="Times New Roman" w:hAnsi="Times New Roman" w:eastAsia="方正仿宋_GBK" w:cs="Times New Roman"/>
          <w:snapToGrid/>
          <w:color w:val="000000" w:themeColor="text1"/>
          <w:kern w:val="21"/>
          <w:sz w:val="32"/>
          <w:szCs w:val="32"/>
          <w:shd w:val="clear" w:color="auto" w:fill="FFFFFF"/>
          <w:lang w:eastAsia="zh-CN"/>
          <w14:textFill>
            <w14:solidFill>
              <w14:schemeClr w14:val="tx1"/>
            </w14:solidFill>
          </w14:textFill>
        </w:rPr>
        <w:t>稳定达到99.5%以上</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76DA79D0">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水利治理水平。谋划推进数字孪生水利体系建设，推进河湖生态保护治理与合理利用，开展城市水系活力提升行动，积极推动绿色水经济发展，增强水利发展内生动力。积极推进农业水价综合改革，落实精准补贴和节水奖励政策。</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提高河湖系统治理、科学管护水平</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推动星湖、马宁水、</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渔涝</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河等幸福河湖项目建设，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改造提升星湖排洪通道</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5A167999">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21" w:name="_Toc5747"/>
      <w:bookmarkStart w:id="422" w:name="_Toc1452972662"/>
      <w:bookmarkStart w:id="423" w:name="_Toc1406273703"/>
      <w:bookmarkStart w:id="424" w:name="_Toc1067147705"/>
      <w:bookmarkStart w:id="425" w:name="_Toc1972576191"/>
      <w:bookmarkStart w:id="426" w:name="_Toc2904"/>
      <w:bookmarkStart w:id="427" w:name="_Toc17490"/>
      <w:bookmarkStart w:id="428" w:name="_Toc64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切实加快新型基础设施建设</w:t>
      </w:r>
      <w:bookmarkEnd w:id="421"/>
      <w:bookmarkEnd w:id="422"/>
      <w:bookmarkEnd w:id="423"/>
      <w:bookmarkEnd w:id="424"/>
      <w:bookmarkEnd w:id="425"/>
      <w:bookmarkEnd w:id="426"/>
      <w:bookmarkEnd w:id="427"/>
      <w:bookmarkEnd w:id="428"/>
    </w:p>
    <w:p w14:paraId="371228D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促进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新型基础设施</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向全领域延伸，</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提升城市基础网络容量和性能，</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筑牢高质量发展数字底座。</w:t>
      </w:r>
    </w:p>
    <w:p w14:paraId="4698346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适度超前部署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信息</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基础设施。加快传统基础设施数字化改造，推动新型基础设施向农业、制造业、交通、能源等全领域扩展。推动网络基础设施优化升级，深入实施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信号升格</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行动，加快卫星互联网、低空智联网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布局，推进低空通信、导航、监视、气象、安全防控一体化设施建设。</w:t>
      </w:r>
    </w:p>
    <w:p w14:paraId="3594431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融合基础设施建设。推动交通基础设施数字化转型升级，探索“人工智能+交通运输”应用发展，推进高速公路、国省道智慧化升级，在广佛肇高速、肇庆大道等路段部署AI路况监测设备、智能应急救援站；推进肇庆港智慧化改造，部署船舶AI调度系统、航道智能监测浮标。布局新能源汽车充电桩，谋划打造枢纽型大功率超快充和目的地智能慢充系统的两级公用充电网络。融合数据中心、安防监控、通信设施、巡逻无人机等资源搭建城市智慧治理中心。</w:t>
      </w:r>
      <w:r>
        <w:rPr>
          <w:rFonts w:ascii="Times New Roman" w:hAnsi="Times New Roman" w:eastAsia="方正仿宋_GBK" w:cs="仿宋_GB2312"/>
          <w:snapToGrid/>
          <w:color w:val="000000" w:themeColor="text1"/>
          <w:kern w:val="21"/>
          <w:sz w:val="32"/>
          <w:szCs w:val="32"/>
          <w:lang w:eastAsia="zh-Hans"/>
          <w14:textFill>
            <w14:solidFill>
              <w14:schemeClr w14:val="tx1"/>
            </w14:solidFill>
          </w14:textFill>
        </w:rPr>
        <w:t>加快构建智慧能源体系，推动电网、气网等能源网络数字化改造</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6732D45C">
      <w:pPr>
        <w:widowControl w:val="0"/>
        <w:numPr>
          <w:ilvl w:val="255"/>
          <w:numId w:val="0"/>
        </w:numPr>
        <w:kinsoku/>
        <w:overflowPunct w:val="0"/>
        <w:autoSpaceDE/>
        <w:autoSpaceDN/>
        <w:adjustRightInd/>
        <w:snapToGrid/>
        <w:spacing w:before="156" w:beforeLines="50" w:after="156" w:afterLines="50" w:line="61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29" w:name="_Toc23848"/>
      <w:bookmarkStart w:id="430" w:name="_Toc1671041801"/>
      <w:bookmarkStart w:id="431" w:name="_Toc210748358"/>
      <w:bookmarkStart w:id="432" w:name="_Toc1007374341"/>
      <w:bookmarkStart w:id="433" w:name="_Toc1593"/>
      <w:bookmarkStart w:id="434" w:name="_Toc7910"/>
      <w:bookmarkStart w:id="435" w:name="_Toc1323161840"/>
      <w:bookmarkStart w:id="436" w:name="_Toc1742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适度超前布局民生工程基础设施</w:t>
      </w:r>
      <w:bookmarkEnd w:id="429"/>
      <w:bookmarkEnd w:id="430"/>
      <w:bookmarkEnd w:id="431"/>
      <w:bookmarkEnd w:id="432"/>
      <w:bookmarkEnd w:id="433"/>
      <w:bookmarkEnd w:id="434"/>
      <w:bookmarkEnd w:id="435"/>
      <w:bookmarkEnd w:id="436"/>
    </w:p>
    <w:p w14:paraId="1FBD009C">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坚持以人为本，持续加大公共服务、环保、文化等领域基础设施建设力度，全面夯实民生基础。</w:t>
      </w:r>
    </w:p>
    <w:p w14:paraId="2595EC2C">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强化公共服务设施供给。优化教育、医疗、养老托育等公共服务设施布局</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，聚焦产城融合发展需求，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适度加密东部城区教育、医疗等基础设施布局，加快西部板块城乡公共服务设施提档扩容、普惠均等。推动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社会福利服务、退役军人保障服务、残疾人服务等</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社会</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服务设施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提标</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衔接大湾区公共服务一体化建设要求，完善城乡便民服务网络与社区综合服务配套，强化适老化、适幼化设施改造提升，持续增强群众获得感与幸福感。</w:t>
      </w:r>
    </w:p>
    <w:p w14:paraId="7999E308">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14:textFill>
            <w14:solidFill>
              <w14:schemeClr w14:val="tx1"/>
            </w14:solidFill>
          </w14:textFill>
        </w:rPr>
        <w:t>完善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环保基础设施建设</w:t>
      </w:r>
      <w:r>
        <w:rPr>
          <w:rFonts w:ascii="Times New Roman" w:hAnsi="Times New Roman" w:eastAsia="方正仿宋_GBK" w:cs="仿宋_GB2312"/>
          <w:snapToGrid/>
          <w:color w:val="000000" w:themeColor="text1"/>
          <w:kern w:val="21"/>
          <w:sz w:val="32"/>
          <w:szCs w:val="32"/>
          <w14:textFill>
            <w14:solidFill>
              <w14:schemeClr w14:val="tx1"/>
            </w14:solidFill>
          </w14:textFill>
        </w:rPr>
        <w:t>。以系统治理、绿色低碳为导向，推动城乡环保设施共建共享、提档升级</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14:textFill>
            <w14:solidFill>
              <w14:schemeClr w14:val="tx1"/>
            </w14:solidFill>
          </w14:textFill>
        </w:rPr>
        <w:t>健全生态安全防控与绿色低碳发展配套设施体系，推进一批</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再生资源循环利用、污水管网建设及污水处理厂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仿宋_GB2312"/>
          <w:snapToGrid/>
          <w:color w:val="000000" w:themeColor="text1"/>
          <w:kern w:val="21"/>
          <w:sz w:val="32"/>
          <w:szCs w:val="32"/>
          <w14:textFill>
            <w14:solidFill>
              <w14:schemeClr w14:val="tx1"/>
            </w14:solidFill>
          </w14:textFill>
        </w:rPr>
        <w:t>项目工程建设，强化生态治理设施与生产生活空间融合衔接，打造人与自然和谐共生的生态基础设施样板。</w:t>
      </w:r>
    </w:p>
    <w:p w14:paraId="339E6BFE">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14:textFill>
            <w14:solidFill>
              <w14:schemeClr w14:val="tx1"/>
            </w14:solidFill>
          </w14:textFill>
        </w:rPr>
        <w:t>健全文化基础设施体系</w:t>
      </w:r>
      <w:r>
        <w:rPr>
          <w:rFonts w:ascii="Times New Roman" w:hAnsi="Times New Roman" w:eastAsia="方正仿宋_GBK" w:cs="仿宋_GB2312"/>
          <w:snapToGrid/>
          <w:color w:val="000000" w:themeColor="text1"/>
          <w:kern w:val="21"/>
          <w:sz w:val="32"/>
          <w:szCs w:val="32"/>
          <w14:textFill>
            <w14:solidFill>
              <w14:schemeClr w14:val="tx1"/>
            </w14:solidFill>
          </w14:textFill>
        </w:rPr>
        <w:t>。构建特色鲜明、普惠优质的人文基础设施体系</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，打造一批文化传承、文旅融合、公共文体服务提质项目。推动优质文化服务向基层延伸、向末梢覆盖，实现城乡服务均等化。</w:t>
      </w:r>
      <w:r>
        <w:rPr>
          <w:rFonts w:ascii="Times New Roman" w:hAnsi="Times New Roman" w:eastAsia="方正仿宋_GBK" w:cs="仿宋_GB2312"/>
          <w:snapToGrid/>
          <w:color w:val="000000" w:themeColor="text1"/>
          <w:kern w:val="21"/>
          <w:sz w:val="32"/>
          <w:szCs w:val="32"/>
          <w14:textFill>
            <w14:solidFill>
              <w14:schemeClr w14:val="tx1"/>
            </w14:solidFill>
          </w14:textFill>
        </w:rPr>
        <w:t>深挖广府文化、端砚文化、龙母文化等本土特色资源，完善非遗传习所等配套设施，打造一批非遗技艺展示区与互动体验区、民俗文化传承体验基地。</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5D1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9071" w:type="dxa"/>
            <w:vAlign w:val="center"/>
          </w:tcPr>
          <w:p w14:paraId="2C2BE82F">
            <w:pPr>
              <w:widowControl w:val="0"/>
              <w:kinsoku/>
              <w:overflowPunct w:val="0"/>
              <w:autoSpaceDE/>
              <w:autoSpaceDN/>
              <w:adjustRightInd/>
              <w:snapToGrid/>
              <w:spacing w:line="500" w:lineRule="exact"/>
              <w:jc w:val="center"/>
              <w:rPr>
                <w:rFonts w:ascii="Times New Roman" w:hAnsi="Times New Roman" w:eastAsia="方正小标宋简体" w:cs="Times New Roman"/>
                <w:snapToGrid/>
                <w:color w:val="000000" w:themeColor="text1"/>
                <w:kern w:val="21"/>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9</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十</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肇庆市现代化基础设施体系</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建设</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项目</w:t>
            </w:r>
          </w:p>
        </w:tc>
      </w:tr>
      <w:tr w14:paraId="723B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71466FCB">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一、综合交通体系重点建设项目</w:t>
            </w:r>
          </w:p>
          <w:p w14:paraId="6202D463">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1.轨道交通项目：加快深南高铁、珠肇高铁项目建设，推进柳广铁路</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前期工作</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0E42FDFF">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2.高速公路项目：推进肇庆至高明高速公路、G80广昆高速公路改扩建工程、佛肇云高速公路、惠州至肇庆高速公路、江肇机场高速公路、清远阳山至肇庆广宁高速公路项目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建设，加快德庆至广宁高速公路、德庆至罗定高速公路项目前期研究。</w:t>
            </w:r>
          </w:p>
          <w:p w14:paraId="5F232BC8">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市内</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快速路：推进肇庆至广州新机场公路、肇庆新区至肇庆高新区一级公路一期工程（站前大道至东进大道段）、</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港口大道新改建工程、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丰乐路西延线、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永贝大道</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东</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西延线、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大湾至白土公路一期工程（大湾至马安段）、肇庆高新区X503线北段升级改造工程项目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建设，加快</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至</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佛山市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高明</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公路、</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羚羊峡</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沿江公路、</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金利跨江大桥、</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大旺至三水北江大桥等项目前期研究。</w:t>
            </w:r>
          </w:p>
          <w:p w14:paraId="57E90FE8">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4.国省道</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等公路</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项目：推进国道G355线怀集县城高凤至大岭段改建工程、国道G355线广宁水声岭至东乡绥江大桥段过境公路改线（扩建）工程、国道G321线德庆县城一级过境公路改线工程、国道G324线高明富湾至高要马安段新改建工程、国道G234线德庆县荔枝岗至冲口段升级改造工程、国道G358线怀集县凤岗墟至甘洒墟段、国道G321线封开县黄沙口至贺江二桥段改线工程、国道G355线广宁联和至江屯罗坑岭顶段、低等级省道升级改造、国省道路面改造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建设，加快国道G324线高要马安至云浮交界段扩建工程前期研究。</w:t>
            </w:r>
          </w:p>
          <w:p w14:paraId="67BC2F0F">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5.水运项目：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推进</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肇庆港封开港区长岗作业区公用综合码头一期工程、肇庆港德庆港区悦城通用码头工程、肇庆港德庆港区九市作业区通用码头工程、肇庆港高要港区金岗作业区一期工程、肇庆港高要港区孔湾码头改扩建工程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建设项目，加快西江肇庆至珠海出海航道扩能升级工程、贺江旅游特色航道工程、肇庆港封开港区公用综合码头二期工程、肇庆港德庆港区富源通用码头工程等前期研究。</w:t>
            </w:r>
          </w:p>
          <w:p w14:paraId="6DBA1559">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6.机场项目：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谋划</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、德庆</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通用机场。</w:t>
            </w:r>
          </w:p>
          <w:p w14:paraId="44077F97">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7.物流项目：大旺跨境电商国际货站二期项目。</w:t>
            </w:r>
          </w:p>
          <w:p w14:paraId="679431A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二、能源基础设施重点建设项目</w:t>
            </w:r>
          </w:p>
          <w:p w14:paraId="3D2E9E39">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1.电源项目：广东重型燃机轮机示范（试验）基地项目、粤港澳大湾区（高要）预制菜产业园热电冷联产项目、广宁县林浆纸综合利用生物质发电（集中供热）项目、怀集县蓝鹤18MW生物质发电项目。</w:t>
            </w:r>
          </w:p>
          <w:p w14:paraId="2FCAE37F">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电网工程：500千伏德庆站220千伏配套工程、500千伏西江电厂扩建机组接入系统工程（肇庆段）、500千伏粤西电力送电珠西北能力提升工程（肇庆段）、220千伏江滨输变电工程、500千伏德庆输变电工程、220千伏罗屋输变电工程、220千伏武乡（广宁规划）输变电工程、110千伏龙湖2输变电工程、110千伏刘村输变电工程等系列输变电工程。</w:t>
            </w:r>
          </w:p>
          <w:p w14:paraId="7E410719">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3.储能项目：广宁县浪江抽水蓄能电站、封开县谠山抽水蓄能电站、德庆县石曹抽水蓄能电站项目、肇庆高新区旺西储能电站、高要区东岸储能电站、四会市新围储能电站。</w:t>
            </w:r>
          </w:p>
          <w:p w14:paraId="3D8B0169">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4.油气工程：高要区老旧小区天然气地下管网改造及设备设施更换工程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怀集县燃气管网及设施改造升级工程项目、智能感知设备改造</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门站配套高压天然气管道工程项目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全市燃气“瓶改管”项目、用户端燃气设施改造项目。</w:t>
            </w:r>
          </w:p>
          <w:p w14:paraId="64FD8D57">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5.零碳园区建设工程：肇庆大旺新能源智能汽车产业城零碳园区。</w:t>
            </w:r>
          </w:p>
          <w:p w14:paraId="19417484">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三、水利基础设施重点建设项目</w:t>
            </w:r>
          </w:p>
          <w:p w14:paraId="1E07535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防洪能力提升工程：绥江重点中小河流防洪治理项目、贺江流域综合治理工程、肇庆市重点山洪沟防洪治理项目、肇庆市堤防达标加固三年攻坚项目、怀集县罗龙分洪道工程、广州新机场片区防洪排涝工程（肇庆部分）、</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市管起步区）排涝与水系连通工程、端州城区排涝能力综合治理项目、鼎湖区（肇庆新区）排水防涝工程、广东省西江流域联金大堤涝区排涝工程、德庆县悦城河综合整治工程、四会市岗美工业园转型升级基础设施项目（龙沙大道—堤路结合）、四会市龙江河流域防洪治理工程、四会市青岐涌综合整治工程、广东绥江治理工程（四会段）、四会市县城排水排涝工程—贞山街道排涝能力提升工程、四会市涝区防灾减灾能力提升工程、四会市堤防工程防洪能力提升项目、肇庆金利高新区排涝治理工程、肇庆高新区立体化高标准排水防涝体系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肇庆大旺西北部排渠整治工程。</w:t>
            </w:r>
          </w:p>
          <w:p w14:paraId="2E86473A">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水资源配置与保障工程：肇庆西部灌区项目、怀集县水下水库工程、高要区金龙高库续建配套与现代化改造项目、高要区金龙低库灌区续建配套与现代化改造项目、四会市中型灌区续建配套与节水配套改造工程、广宁县供水保障项目北片供水厂工程、高要区县域供水互联互通改造工程、高要区农村供水“三同五化”提质改造工程、四会市农村供水提质升级项目—城区主管网延伸工程、怀集县农村供水提质升级工程、怀集县湖朗水库灌区续建配套与现代化改造项目。</w:t>
            </w:r>
          </w:p>
          <w:p w14:paraId="39AFF7D4">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3.幸福河湖建设项目：星湖（七星湖）幸福河湖建设项目、封开县渔涝河流域幸福河湖建设项目、怀集县马宁水幸福河湖项目、德庆县全域幸福河湖创建项目。</w:t>
            </w:r>
          </w:p>
          <w:p w14:paraId="543A9797">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四、新型基础设施重点建设项目</w:t>
            </w:r>
          </w:p>
          <w:p w14:paraId="2702E417">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1.信息基础设施：</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通信</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基站建设项目、光纤网络建设项目、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莲花富溪项目一期智慧园区项目、电信AIDC建设项目、电信“一城一池”扩容项目、德庆县新型智慧城市项目、粤港澳大湾区肇庆（怀集）绿色农副产品集散基地及基础设施配套项目—数字综合平台项目、肇庆高新区“数智领航”城市数字化转型与治理能力提升工程、端州区城市治理智慧化提升项目、端州区双龙省级经济开发区提质增效项目、端州区数字经济服务中心项目。</w:t>
            </w:r>
          </w:p>
          <w:p w14:paraId="02BF0E21">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2.融合基础设施：肇庆高新区智慧管网体系项目、端州区双龙省级经济开发区人工智能产业园及园区配套项目、端州区低空经济基础设施提升项目。</w:t>
            </w:r>
          </w:p>
          <w:p w14:paraId="3960C691">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五、民生工程基础设施重点建设项目</w:t>
            </w:r>
          </w:p>
          <w:p w14:paraId="3A5D8360">
            <w:pPr>
              <w:widowControl w:val="0"/>
              <w:kinsoku/>
              <w:overflowPunct w:val="0"/>
              <w:autoSpaceDE/>
              <w:autoSpaceDN/>
              <w:adjustRightInd/>
              <w:snapToGrid/>
              <w:spacing w:after="156" w:afterLines="50" w:line="400" w:lineRule="exact"/>
              <w:ind w:firstLine="560" w:firstLineChars="200"/>
              <w:jc w:val="both"/>
              <w:textAlignment w:val="auto"/>
              <w:rPr>
                <w:rFonts w:ascii="Times New Roman" w:hAnsi="Times New Roman" w:eastAsia="宋体" w:cs="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端州区城市防灾减灾能力项目、端州区智慧粮库项目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四会市大沙智慧城市安全科普培训基地工程、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（市管起步区）大沙第二污水处理厂一期工程、四会市供排水基础设施项目、德庆县城区供排水一体化及地下管网更新改造项目、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肇庆高新区沙沥北部片区雨污管网改造及立管补短板建设项目、肇庆高新区第二污水处理厂一期提标改造及二期扩容工程、肇庆复退军人医院二期工程</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，肇庆市殡仪馆升级改造项目、肇庆市公益性安葬（放）设施项目、怀集县乡镇公益性公墓工程项目。</w:t>
            </w:r>
          </w:p>
        </w:tc>
      </w:tr>
    </w:tbl>
    <w:p w14:paraId="3ED8292E">
      <w:pPr>
        <w:widowControl w:val="0"/>
        <w:kinsoku/>
        <w:overflowPunct w:val="0"/>
        <w:autoSpaceDE/>
        <w:autoSpaceDN/>
        <w:adjustRightInd/>
        <w:snapToGrid/>
        <w:spacing w:before="63"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bookmarkStart w:id="437" w:name="_Toc1931631778"/>
      <w:bookmarkStart w:id="438" w:name="_Toc1900811339"/>
      <w:bookmarkStart w:id="439" w:name="_Toc13940"/>
      <w:bookmarkStart w:id="440" w:name="_Toc11640"/>
      <w:bookmarkStart w:id="441" w:name="_Toc982279832"/>
      <w:bookmarkStart w:id="442" w:name="_Toc26938"/>
      <w:bookmarkStart w:id="443" w:name="_Toc1440745592"/>
      <w:bookmarkStart w:id="444" w:name="_Toc29700"/>
    </w:p>
    <w:p w14:paraId="16C51FFA">
      <w:pPr>
        <w:rPr>
          <w:rFonts w:ascii="Times New Roman" w:hAnsi="Times New Roman" w:eastAsia="宋体" w:cs="宋体"/>
          <w:sz w:val="27"/>
          <w:szCs w:val="27"/>
          <w:lang w:eastAsia="zh-CN"/>
        </w:rPr>
      </w:pPr>
      <w:r>
        <w:rPr>
          <w:rFonts w:hint="eastAsia" w:ascii="Times New Roman" w:hAnsi="Times New Roman" w:eastAsia="宋体" w:cs="宋体"/>
          <w:sz w:val="27"/>
          <w:szCs w:val="27"/>
          <w:lang w:eastAsia="zh-CN"/>
        </w:rPr>
        <w:br w:type="page"/>
      </w:r>
    </w:p>
    <w:p w14:paraId="4940BF10">
      <w:pPr>
        <w:adjustRightInd/>
        <w:snapToGrid/>
        <w:spacing w:line="400" w:lineRule="exact"/>
        <w:rPr>
          <w:rFonts w:ascii="Times New Roman" w:hAnsi="Times New Roman"/>
          <w:lang w:eastAsia="zh-CN"/>
        </w:rPr>
      </w:pPr>
    </w:p>
    <w:p w14:paraId="531682E3">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第七章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落实扩大内需战略，服务建设国内</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大</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市场</w:t>
      </w:r>
      <w:bookmarkEnd w:id="437"/>
      <w:bookmarkEnd w:id="438"/>
      <w:bookmarkEnd w:id="439"/>
      <w:bookmarkEnd w:id="440"/>
      <w:bookmarkEnd w:id="441"/>
      <w:bookmarkEnd w:id="442"/>
      <w:bookmarkEnd w:id="443"/>
      <w:bookmarkEnd w:id="444"/>
    </w:p>
    <w:p w14:paraId="358AC73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p>
    <w:p w14:paraId="6D6A000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坚持扩大内需战略基点，统筹以消费扩容提质释放内需潜力、以有效投资补短板强动能、以基础设施升级夯实支撑底座，全方位激活全市内需体系活力。</w:t>
      </w:r>
    </w:p>
    <w:p w14:paraId="7090FFDE">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45" w:name="_Toc29108"/>
      <w:bookmarkStart w:id="446" w:name="_Toc670272024"/>
      <w:bookmarkStart w:id="447" w:name="_Toc688669893"/>
      <w:bookmarkStart w:id="448" w:name="_Toc215420639"/>
      <w:bookmarkStart w:id="449" w:name="_Toc27533"/>
      <w:bookmarkStart w:id="450" w:name="_Toc11125"/>
      <w:bookmarkStart w:id="451" w:name="_Toc1206645138"/>
      <w:bookmarkStart w:id="452" w:name="_Toc2938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多措并举做旺消费市场</w:t>
      </w:r>
      <w:bookmarkEnd w:id="445"/>
      <w:bookmarkEnd w:id="446"/>
      <w:bookmarkEnd w:id="447"/>
      <w:bookmarkEnd w:id="448"/>
      <w:bookmarkEnd w:id="449"/>
      <w:bookmarkEnd w:id="450"/>
      <w:bookmarkEnd w:id="451"/>
      <w:bookmarkEnd w:id="452"/>
    </w:p>
    <w:p w14:paraId="1ACF947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bidi="ar"/>
          <w14:textFill>
            <w14:solidFill>
              <w14:schemeClr w14:val="tx1"/>
            </w14:solidFill>
          </w14:textFill>
        </w:rPr>
        <w:t>坚持供需两端协同发力，着力优化消费场景、提振消费信心</w:t>
      </w:r>
      <w:r>
        <w:rPr>
          <w:rFonts w:hint="eastAsia" w:ascii="Times New Roman" w:hAnsi="Times New Roman" w:eastAsia="方正仿宋_GBK" w:cs="仿宋_GB2312"/>
          <w:snapToGrid/>
          <w:color w:val="000000" w:themeColor="text1"/>
          <w:kern w:val="21"/>
          <w:sz w:val="32"/>
          <w:szCs w:val="24"/>
          <w:lang w:eastAsia="zh-CN" w:bidi="ar"/>
          <w14:textFill>
            <w14:solidFill>
              <w14:schemeClr w14:val="tx1"/>
            </w14:solidFill>
          </w14:textFill>
        </w:rPr>
        <w:t>、壮大消费市场，树立肇庆消费品牌标杆</w:t>
      </w:r>
      <w:r>
        <w:rPr>
          <w:rFonts w:ascii="Times New Roman" w:hAnsi="Times New Roman" w:eastAsia="方正仿宋_GBK" w:cs="仿宋_GB2312"/>
          <w:snapToGrid/>
          <w:color w:val="000000" w:themeColor="text1"/>
          <w:kern w:val="21"/>
          <w:sz w:val="32"/>
          <w:szCs w:val="24"/>
          <w:lang w:eastAsia="zh-CN" w:bidi="ar"/>
          <w14:textFill>
            <w14:solidFill>
              <w14:schemeClr w14:val="tx1"/>
            </w14:solidFill>
          </w14:textFill>
        </w:rPr>
        <w:t>。</w:t>
      </w:r>
    </w:p>
    <w:p w14:paraId="34AFD6E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扩大优质消费品和服务供给。深入实施提振消费专项行动，</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办好</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“广东</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优品购</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系列促消费活动，</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以优质供给激活消费潜力。做旺商品消费，强化消费品牌引领，打造肇庆名品名店，推荐认定肇庆“老字号”，争创一批“粤字号”农产品品牌，打造“西江菜”美食品牌，强化“怀集味道”区域公用品牌影响力；持续激发大宗商品消费潜能</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深入落实消费品以旧换新政策，推动汽车、家电等大宗耐用消费品绿色化、智能化升级；</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培育建设二手商品流通市场。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扩大服务消费，扩大购物、餐饮、家政、农资服务、政务代办、技能培训和医养理疗等综合服务供给。积极</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培育壮大新型消费</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大力发展数字消费、绿色消费、健康消费</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、体育消费、新型兴趣消费</w:t>
      </w:r>
      <w:r>
        <w:rPr>
          <w:rStyle w:val="29"/>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footnoteReference w:id="2"/>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。发展演唱会经济，引进更多优质演艺活动，促进演艺与文旅融合。创建“肇消费”活动矩阵，构筑具有肇庆特色的消费促进体系。</w:t>
      </w:r>
    </w:p>
    <w:p w14:paraId="0C05388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扩大消费市场空间。积极参与</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大湾区国际消费枢纽建设，推动高品质商圈培育建设，依托大型工业区、高校、居住区等人流密集区域，</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设“</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食住文体游娱购</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多业态融合的商业地标</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加快推进在建商业项目落地入市，盘活</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闲置低效商场</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挖潜肇庆东站等周边地区的消费空间，</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引入首发经济、体验式消费等新业态，打造</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15分钟便民生活圈</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。拓展即时零售业态，争取电商平台在</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肇庆</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布局</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前置仓</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，推进仓储式消费空间建设，提升消费便捷度。</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做强夜经济消费品牌，提升</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端州区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紫荆西堤</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文创街区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、大旺步行街、鼎湖</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朝阳里等地夜经济消费街区建设水平。拓展乡村消费空间</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，推动消费品入县下乡</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，建设县乡生活消费服务综合体，</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打造一批大型农产品流通基地、专业市场、乡镇农贸市场、村级服务点等流通节点。</w:t>
      </w:r>
    </w:p>
    <w:p w14:paraId="05CF4C8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健全消费市场机制。以提升</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居民</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收入水平为核心、完善保障体系为支撑，</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统筹促就业、增收入、稳预期，合理提高公共服务支出占财政支出比重，增强居民消费能力。以放宽准入、业态融合为重点，扩大服务消费市场主体。加大直达消费者的普惠政策力度，增加政府资金用于民生保障支出。完善促进消费制度机制，清理汽车、住房等消费不合理限制性措施，建立健全适应消费新业态新模式新场景的管理办法，落实带薪错峰休假。引导破解“内卷式”竞争，着力规范竞争秩序，共建良性生态。优化消费场所周边的停车场等配套措施，鼓励商圈、综合体等优化停车措施。拓展入境消费，</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支持港澳居民来肇消费。提振住房消费，贯彻落实央行降准降息政策，全面优化公积金、金融信贷等购房政策。</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完善消费者权益保护制度，提振消费信心。</w:t>
      </w:r>
    </w:p>
    <w:p w14:paraId="4842E463">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53" w:name="_Toc1457783991"/>
      <w:bookmarkStart w:id="454" w:name="_Toc10653"/>
      <w:bookmarkStart w:id="455" w:name="_Toc13024"/>
      <w:bookmarkStart w:id="456" w:name="_Toc26679"/>
      <w:bookmarkStart w:id="457" w:name="_Toc2040362737"/>
      <w:bookmarkStart w:id="458" w:name="_Toc747069063"/>
      <w:bookmarkStart w:id="459" w:name="_Toc12952"/>
      <w:bookmarkStart w:id="460" w:name="_Toc136807407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精准扩大有效投资</w:t>
      </w:r>
      <w:bookmarkEnd w:id="453"/>
      <w:bookmarkEnd w:id="454"/>
      <w:bookmarkEnd w:id="455"/>
      <w:bookmarkEnd w:id="456"/>
      <w:bookmarkEnd w:id="457"/>
      <w:bookmarkEnd w:id="458"/>
      <w:bookmarkEnd w:id="459"/>
      <w:bookmarkEnd w:id="460"/>
    </w:p>
    <w:p w14:paraId="7CE904B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坚持“项目为王”，坚持投资于物与投资于人相结合，着力优化投资结构，注重投新、投缺、投基础、投长远，保持合理投资强度，力争“十五五”期间固定资产投资超6000亿元。</w:t>
      </w:r>
    </w:p>
    <w:p w14:paraId="1466F8E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发挥政府投资引导作用。紧扣</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国家</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支持的投资方向和领域加强</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项目</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谋划</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，健全与国家、省常态化纵向沟通对接机制，争取更多项目纳入国家和省</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笼子</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高质量</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推动</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“两重”项目建设，开展</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重点领域固投挖潜工作</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做实新增项目入库，提前进行精准摸排筛选，推动项目及早入库纳统。结合肇庆实际</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谋划储备一批成熟项目，</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做深做实项目可研、用地审批等</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前期工作</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强化政策性资金保障</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，定期</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对中央预算内投资、地方政府专项债券、超长期特别国债、新型政策性金融工具等项目进行动态更新，做到</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申报即有项目</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适应人口结构变化和流动趋势，加大教育医疗、养老托育、技能培训、文化体育等公共服务投资，加快实施城市地下管网改造和城市更新。加强政府投资全过程管理，推动工业投资、基础设施投资、房地产投资、农业投资等重点板块投资回稳。</w:t>
      </w:r>
    </w:p>
    <w:p w14:paraId="3DDAD0C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激发民间投资活力。消除制约扩大民间投资的限制性因素，进一步拓宽民间投资空间，抢抓扩大专项债券投向领域和用作项目资本金范围等增量政策，激发民营企业和社会资本的积极性，提高民间投资占比。拓宽民间投资准入领域，规范实施政府和社会资本合作（PPP）新机制，积极引导民间资本投资“百千万工程”、现</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代农业、重大交通和物流项目、重大水利项目、城镇化建设、社会事业、文旅振兴、新兴服务业、传统产业升级、未来产业布局等重点领域。加大力度向民间资本推介项目，鼓励民营企业参与铁路、收费公路、供水、供气等重大基础设施和民生工程建设，充实民间资本投资重点领域项目库。引导支持民间资本扩大创新投入，推动民营企业参与建设研发创新平台。加强对民间投资的资源要素保障，建立健全民间投资服务与评估机制。</w:t>
      </w:r>
    </w:p>
    <w:p w14:paraId="0DECB7D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创新投资模式与管理机制。积极争取超长期特别国债、中央预算内投资、地方政府专项债券、新型政策性金融工具等政策性资金，全力撬动社会资本，拓宽多元化筹资渠道，持续完善优化“债贷联动”和“补改投”模式，提升投资效益。积极盘活高速公</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路、产业园区、保障性租赁住房等存量资产，力争发行一批基础设施REITs产品。强化项目全生命周期管理，建立健全覆盖项目谋划储备、决策审批、建设实施、竣工投产、运营维护及绩效评价的全过程、全链条、闭环式管理体系。</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加快落实肇庆国资高质量发展产业基金，推进东部各区（市）设立产业基金、西部各县建立产业投资渠道，撬动社会资本，搭建市县两级百亿产业基金集群。</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提高财政资金使用效率，做好政府投资计划和财政预算的衔接，强化绩效评价机制，确保项目质量和投资效益。</w:t>
      </w:r>
    </w:p>
    <w:p w14:paraId="067F3621">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61" w:name="_Toc18663"/>
      <w:bookmarkStart w:id="462" w:name="_Toc2297"/>
      <w:bookmarkStart w:id="463" w:name="_Toc1445511189"/>
      <w:bookmarkStart w:id="464" w:name="_Toc16872"/>
      <w:bookmarkStart w:id="465" w:name="_Toc666629679"/>
      <w:bookmarkStart w:id="466" w:name="_Toc28156"/>
      <w:bookmarkStart w:id="467" w:name="_Toc89664772"/>
      <w:bookmarkStart w:id="468" w:name="_Toc66613483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服务全国统一大市场建设</w:t>
      </w:r>
      <w:bookmarkEnd w:id="461"/>
      <w:bookmarkEnd w:id="462"/>
      <w:bookmarkEnd w:id="463"/>
      <w:bookmarkEnd w:id="464"/>
      <w:bookmarkEnd w:id="465"/>
      <w:bookmarkEnd w:id="466"/>
      <w:bookmarkEnd w:id="467"/>
      <w:bookmarkEnd w:id="468"/>
    </w:p>
    <w:p w14:paraId="2700D74F">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全面落实全国统一大市场建设要求，</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以破除壁垒、畅通循环为核心，聚焦要素资源高效配置与市场规则统一，强化公平竞争环境营造，推动市场开放融合与内外联动。</w:t>
      </w:r>
    </w:p>
    <w:p w14:paraId="2D97C3F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执行统一市场基础制度。全面落实全国统一的市场准入负面清单制度，确保</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全国一张清单</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落地见效。完善市场准入和退出机制，破除隐性壁垒。积极参与建设粤港澳大湾区统一大市场公平竞争先行区，健全公平竞争审查机制，清理废除妨碍统一市场和公平竞争的各种规定和做法，提升经营主体准入准营便利度，促进各类经营主体依法平等使用生产要素、公平参与市场竞争。深化</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信用肇庆</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建设，深化跨部门信用数据归集共享，完善涵盖社保、税务、环保等领域的公共信用综合评价体系，建立健全以信用为基础的新型监管机制，推动守信激励、失信惩戒。</w:t>
      </w:r>
    </w:p>
    <w:p w14:paraId="0889945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完善统一市场基础设施。建强跨区域高效物流网络，配合开展西江航道扩能升级前期研究，加快珠肇高铁肇庆段等重大交通工程</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打造空铁公水立体交通网络，推动形成大湾区一小时、广佛肇半小时交通圈。加快布局5G网络、数据中心等新型基础设施，推进传统基础设施数字化转型。加强农产品流通体系建设，促进农产品跨区域高效流通。</w:t>
      </w:r>
    </w:p>
    <w:p w14:paraId="00D4F1A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规范统一政府行为尺度。加快全流程全链条监管，提升公共资源交易平台运作效能，持续构建公平开放的采购招标市场。加强政府采购和招标投标领域公平竞争审查刚性约束，强化反垄断和反不正当竞争监管。严格规范政府经济促进行为，推动有效市场和有为政府相结合。规范招商引资行为，统筹管理市、县招商引资方向及项目。</w:t>
      </w:r>
    </w:p>
    <w:p w14:paraId="7987172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严格统一市场监管执法。深入推进市场监管综合行政执法改革，整合监管执法力量，消除多头执法、重复执法。完善行政执法体系，规范行政执法自由裁量权，推动执法标准和程序统一。全面推行</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双随机、一公开</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监管、</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互联网+监管</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等模式，提升市场监管效能。强化跨区域执法协作，形成监管合力，维护统一市场秩序。</w:t>
      </w:r>
    </w:p>
    <w:p w14:paraId="0D724CE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融入统一要素资源市场。进一步发挥市场在要素资源配置中的决定性作用，深度参与建设统一的要素市场体系，主动对接统一的电力市场、碳排放权交易市场、数据交易市场。用好粤港澳大湾区要素市场化配置综合改革试点机遇，谋划差异化改革事项，推动土地、人力、资本、技术、数据、资源环境等要素跨区域自由流动，激活我市要素资源效率和活力</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p>
    <w:p w14:paraId="4F51FEE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持续扩大对内对外开放。以开放破壁垒、以联动促统一，强化跨区域协同联通，促进商品和要素在区域内高效流动。深化制度型开放，对接RCEP等国际经贸规则，在知识产权保护、跨境服务贸易等领域推行与国际接轨的监管模式。</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十五五</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期间新增知识产权维权服务站5个。</w:t>
      </w:r>
    </w:p>
    <w:p w14:paraId="6C87C43D">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69" w:name="_Toc2035208002"/>
      <w:bookmarkStart w:id="470" w:name="_Toc21884"/>
      <w:bookmarkStart w:id="471" w:name="_Toc1680972856"/>
      <w:bookmarkStart w:id="472" w:name="_Toc741583743"/>
      <w:bookmarkStart w:id="473" w:name="_Toc10326"/>
      <w:bookmarkStart w:id="474" w:name="_Toc6487"/>
      <w:bookmarkStart w:id="475" w:name="_Toc1757184064"/>
      <w:bookmarkStart w:id="476" w:name="_Toc2222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积极参与“海上新广东”建设</w:t>
      </w:r>
      <w:bookmarkEnd w:id="469"/>
      <w:bookmarkEnd w:id="470"/>
      <w:bookmarkEnd w:id="471"/>
      <w:bookmarkEnd w:id="472"/>
      <w:bookmarkEnd w:id="473"/>
      <w:bookmarkEnd w:id="474"/>
      <w:bookmarkEnd w:id="475"/>
      <w:bookmarkEnd w:id="476"/>
    </w:p>
    <w:p w14:paraId="46977B8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依托西江黄金水道沿江向海，畅通江海联运通道，推动港产城融合发展，深度融入海洋经济发展格局，为</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海上新广东</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建设注入肇庆动能。</w:t>
      </w:r>
    </w:p>
    <w:p w14:paraId="5056E5F9">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推动</w:t>
      </w:r>
      <w:r>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临港向海基础设施互联互通。加强临港产业园建设，依托西江黄金水道和公铁水空多式联运</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聚焦发展现代物流、食品饮料、先进装备制造等主导产业。全面深化与广深港口合作，推动肇庆港从内河港向江海联运枢纽港转型升级</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，谋划</w:t>
      </w:r>
      <w:r>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推动港口码头整合升级与扩容</w:t>
      </w:r>
      <w:r>
        <w:rPr>
          <w:rFonts w:hint="eastAsia"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24"/>
          <w:lang w:eastAsia="zh-CN"/>
          <w14:textFill>
            <w14:solidFill>
              <w14:schemeClr w14:val="tx1"/>
            </w14:solidFill>
          </w14:textFill>
        </w:rPr>
        <w:t>着力与深圳盐田港合作发展水水中转与江海联运业务，打造大湾区港口群的重要喂给港和中转枢纽港。</w:t>
      </w:r>
    </w:p>
    <w:p w14:paraId="2A4E3A0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仿宋_GB2312" w:cs="仿宋_GB2312"/>
          <w:snapToGrid/>
          <w:color w:val="000000" w:themeColor="text1"/>
          <w:kern w:val="21"/>
          <w:sz w:val="32"/>
          <w:szCs w:val="24"/>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积极参与现代海洋产业链建设。积极对接广东省海洋经济发展战略部署，找准</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我市</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在全省现代海洋产业链中的定位，</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推动</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从</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沿江</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到</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向海</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产业延伸。</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主动对接</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粤海粮仓</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Hans"/>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海上风电等产业链</w:t>
      </w:r>
      <w:r>
        <w:rPr>
          <w:rFonts w:ascii="Times New Roman" w:hAnsi="Times New Roman" w:eastAsia="方正仿宋_GBK" w:cs="仿宋_GB2312"/>
          <w:snapToGrid/>
          <w:color w:val="000000" w:themeColor="text1"/>
          <w:kern w:val="21"/>
          <w:sz w:val="32"/>
          <w:szCs w:val="24"/>
          <w:lang w:eastAsia="zh-Hans"/>
          <w14:textFill>
            <w14:solidFill>
              <w14:schemeClr w14:val="tx1"/>
            </w14:solidFill>
          </w14:textFill>
        </w:rPr>
        <w:t>，</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积极承接珠三角沿海地区海洋工程装备、海洋生物医药、海洋新材料等产业配套环节和拓展应用，</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探索</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飞海</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24"/>
          <w:lang w:eastAsia="zh-Hans"/>
          <w14:textFill>
            <w14:solidFill>
              <w14:schemeClr w14:val="tx1"/>
            </w14:solidFill>
          </w14:textFill>
        </w:rPr>
        <w:t>合作模式</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。深化与海洋经济企业合作，依托高要</w:t>
      </w:r>
      <w:r>
        <w:rPr>
          <w:rFonts w:hint="eastAsia" w:ascii="Times New Roman" w:hAnsi="Times New Roman" w:eastAsia="方正仿宋_GBK" w:cs="仿宋_GB2312"/>
          <w:snapToGrid/>
          <w:color w:val="000000" w:themeColor="text1"/>
          <w:kern w:val="21"/>
          <w:sz w:val="32"/>
          <w:szCs w:val="24"/>
          <w:lang w:eastAsia="zh-CN"/>
          <w14:textFill>
            <w14:solidFill>
              <w14:schemeClr w14:val="tx1"/>
            </w14:solidFill>
          </w14:textFill>
        </w:rPr>
        <w:t>区</w:t>
      </w:r>
      <w:r>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t>等地水产发展基础，提升水产加工和物流水平，打造特色鲜明的水产品牌。</w:t>
      </w:r>
    </w:p>
    <w:tbl>
      <w:tblPr>
        <w:tblStyle w:val="23"/>
        <w:tblpPr w:leftFromText="180" w:rightFromText="180" w:vertAnchor="text" w:horzAnchor="page" w:tblpXSpec="center" w:tblpY="254"/>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37837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9071" w:type="dxa"/>
            <w:vAlign w:val="center"/>
          </w:tcPr>
          <w:p w14:paraId="10C2EDB9">
            <w:pPr>
              <w:widowControl w:val="0"/>
              <w:kinsoku/>
              <w:overflowPunct w:val="0"/>
              <w:autoSpaceDE/>
              <w:autoSpaceDN/>
              <w:adjustRightInd/>
              <w:snapToGrid/>
              <w:spacing w:line="320" w:lineRule="exact"/>
              <w:jc w:val="center"/>
              <w:rPr>
                <w:rFonts w:ascii="Times New Roman" w:hAnsi="Times New Roman" w:eastAsia="方正小标宋简体" w:cs="Times New Roman"/>
                <w:snapToGrid/>
                <w:color w:val="000000" w:themeColor="text1"/>
                <w:kern w:val="21"/>
                <w14:textFill>
                  <w14:solidFill>
                    <w14:schemeClr w14:val="tx1"/>
                  </w14:solidFill>
                </w14:textFill>
              </w:rPr>
            </w:pPr>
            <w:r>
              <w:rPr>
                <w:rFonts w:ascii="Times New Roman" w:hAnsi="Times New Roman" w:eastAsia="方正小标宋简体" w:cs="Times New Roman"/>
                <w:snapToGrid/>
                <w:color w:val="000000" w:themeColor="text1"/>
                <w:kern w:val="21"/>
                <w:sz w:val="30"/>
                <w:szCs w:val="30"/>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10</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十</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时期</w:t>
            </w:r>
            <w:r>
              <w:rPr>
                <w:rFonts w:ascii="Times New Roman" w:hAnsi="Times New Roman" w:eastAsia="方正小标宋简体" w:cs="Times New Roman"/>
                <w:snapToGrid/>
                <w:color w:val="000000" w:themeColor="text1"/>
                <w:kern w:val="21"/>
                <w:sz w:val="30"/>
                <w:szCs w:val="30"/>
                <w:lang w:eastAsia="zh-CN"/>
                <w14:textFill>
                  <w14:solidFill>
                    <w14:schemeClr w14:val="tx1"/>
                  </w14:solidFill>
                </w14:textFill>
              </w:rPr>
              <w:t>肇庆市</w:t>
            </w:r>
            <w:r>
              <w:rPr>
                <w:rFonts w:hint="eastAsia" w:ascii="Times New Roman" w:hAnsi="Times New Roman" w:eastAsia="方正小标宋简体" w:cs="Times New Roman"/>
                <w:snapToGrid/>
                <w:color w:val="000000" w:themeColor="text1"/>
                <w:kern w:val="21"/>
                <w:sz w:val="30"/>
                <w:szCs w:val="30"/>
                <w:lang w:eastAsia="zh-CN"/>
                <w14:textFill>
                  <w14:solidFill>
                    <w14:schemeClr w14:val="tx1"/>
                  </w14:solidFill>
                </w14:textFill>
              </w:rPr>
              <w:t>扩大内需重点</w:t>
            </w:r>
            <w:r>
              <w:rPr>
                <w:rFonts w:ascii="Times New Roman" w:hAnsi="Times New Roman" w:eastAsia="方正小标宋简体" w:cs="Times New Roman"/>
                <w:snapToGrid/>
                <w:color w:val="000000" w:themeColor="text1"/>
                <w:kern w:val="21"/>
                <w:sz w:val="30"/>
                <w:szCs w:val="30"/>
                <w14:textFill>
                  <w14:solidFill>
                    <w14:schemeClr w14:val="tx1"/>
                  </w14:solidFill>
                </w14:textFill>
              </w:rPr>
              <w:t>事项</w:t>
            </w:r>
          </w:p>
        </w:tc>
      </w:tr>
      <w:tr w14:paraId="3A0D5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8" w:hRule="atLeast"/>
          <w:jc w:val="center"/>
        </w:trPr>
        <w:tc>
          <w:tcPr>
            <w:tcW w:w="9071" w:type="dxa"/>
            <w:vAlign w:val="center"/>
          </w:tcPr>
          <w:p w14:paraId="68ABE4A4">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一、做旺消费市场</w:t>
            </w:r>
          </w:p>
          <w:p w14:paraId="60B04258">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打造特色消费品牌：</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打造“跟着赛事游肇庆”和“赛事进景区、进街区、进商圈”等品牌活动，培育一批具有影响力的体育旅游精品线路、赛事和基地，打造粤港澳大湾区运动之城。</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深度挖掘四会玉器文化、</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德庆龙母文化</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等资源，开发非遗技艺传承等沉浸式文旅项目，培育核心文旅</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消费</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品牌。</w:t>
            </w:r>
          </w:p>
          <w:p w14:paraId="3353A706">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2.培育特色消费场景：打造特色消费节点，引入夜间文旅项目，打造特色夜市、文创街区，延长消费链条，激活夜间经济活力。</w:t>
            </w:r>
          </w:p>
          <w:p w14:paraId="0ECC71D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开展“食在肇庆”活动：持续推进打造“西江菜”特色餐饮品牌，会同抖音等网络平台探索实施特色餐饮菜品和门店推广活动，推广“怀集味道”区域公用品牌，积极发挥限上餐饮企业带动作用，培育推广一批辨识度高、群众认可度好的餐饮门店；推进“高德地图扫街榜”，挖掘宣传一批“宝藏小店”；打造优质餐饮集聚区，推进建设15处以上的美食街区。</w:t>
            </w:r>
          </w:p>
          <w:p w14:paraId="3020D3B8">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4.用足用好政策资金：持续开展消费品以旧换新活动，叠加“广东优品购”活动，重点推动汽车、家电、数码产品、特色产品等大宗耐用消费品购新焕新，引导消费向绿色、智能方向转型。</w:t>
            </w:r>
          </w:p>
          <w:p w14:paraId="6161424A">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二、扩大有效投资</w:t>
            </w:r>
          </w:p>
          <w:p w14:paraId="23D90BB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做好项目储备和谋划：结合肇庆实际谋划储备一批成熟项目，持续推进前期工作，争取一批亟需实施的惠民生、补短板项目纳入上级“盘子”。建立详实的项目台账，确保投资计划都有坚实的项目依托，加大投资调度频率，以项目保投资、以进度保目标。</w:t>
            </w:r>
          </w:p>
          <w:p w14:paraId="2AE00DDD">
            <w:pPr>
              <w:widowControl w:val="0"/>
              <w:kinsoku/>
              <w:overflowPunct w:val="0"/>
              <w:autoSpaceDE/>
              <w:autoSpaceDN/>
              <w:adjustRightInd/>
              <w:snapToGrid/>
              <w:spacing w:after="156" w:afterLines="50" w:line="40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2.推进重点领域投资挖潜：摸清在建或已建项目底数</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梳理已开工但未申报项目及时入库，提前进行精准摸排筛选，推动项目及早入库纳统。</w:t>
            </w:r>
          </w:p>
        </w:tc>
      </w:tr>
    </w:tbl>
    <w:p w14:paraId="67823FC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24"/>
          <w:lang w:eastAsia="zh-CN"/>
          <w14:textFill>
            <w14:solidFill>
              <w14:schemeClr w14:val="tx1"/>
            </w14:solidFill>
          </w14:textFill>
        </w:rPr>
      </w:pPr>
      <w:bookmarkStart w:id="477" w:name="_Toc13543"/>
      <w:bookmarkStart w:id="478" w:name="_Toc942132264"/>
      <w:bookmarkStart w:id="479" w:name="_Toc1602559193"/>
      <w:bookmarkStart w:id="480" w:name="_Toc833"/>
      <w:bookmarkStart w:id="481" w:name="_Toc364209544"/>
      <w:bookmarkStart w:id="482" w:name="_Toc883126832"/>
      <w:bookmarkStart w:id="483" w:name="_Toc28079"/>
      <w:bookmarkStart w:id="484" w:name="_Toc20718"/>
    </w:p>
    <w:p w14:paraId="1176453F">
      <w:pPr>
        <w:widowControl w:val="0"/>
        <w:kinsoku/>
        <w:overflowPunct w:val="0"/>
        <w:autoSpaceDE/>
        <w:autoSpaceDN/>
        <w:adjustRightInd/>
        <w:snapToGrid/>
        <w:spacing w:line="590" w:lineRule="exact"/>
        <w:jc w:val="center"/>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br w:type="page"/>
      </w:r>
    </w:p>
    <w:p w14:paraId="781A7D1E">
      <w:pPr>
        <w:adjustRightInd/>
        <w:snapToGrid/>
        <w:spacing w:line="400" w:lineRule="exact"/>
        <w:rPr>
          <w:rFonts w:ascii="Times New Roman" w:hAnsi="Times New Roman"/>
          <w:color w:val="000000" w:themeColor="text1"/>
          <w:lang w:eastAsia="zh-CN"/>
          <w14:textFill>
            <w14:solidFill>
              <w14:schemeClr w14:val="tx1"/>
            </w14:solidFill>
          </w14:textFill>
        </w:rPr>
      </w:pPr>
    </w:p>
    <w:p w14:paraId="5799B81F">
      <w:pPr>
        <w:pStyle w:val="3"/>
        <w:keepNext w:val="0"/>
        <w:keepLines w:val="0"/>
        <w:widowControl w:val="0"/>
        <w:kinsoku/>
        <w:overflowPunct w:val="0"/>
        <w:autoSpaceDE/>
        <w:autoSpaceDN/>
        <w:adjustRightInd/>
        <w:snapToGrid/>
        <w:spacing w:before="0" w:after="0" w:line="700" w:lineRule="exact"/>
        <w:jc w:val="cente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第八章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推进高水平改革开放，全面激发发展活力</w:t>
      </w:r>
      <w:bookmarkEnd w:id="477"/>
      <w:bookmarkEnd w:id="478"/>
      <w:bookmarkEnd w:id="479"/>
      <w:bookmarkEnd w:id="480"/>
      <w:bookmarkEnd w:id="481"/>
      <w:bookmarkEnd w:id="482"/>
      <w:bookmarkEnd w:id="483"/>
      <w:bookmarkEnd w:id="484"/>
    </w:p>
    <w:p w14:paraId="029ED780">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p>
    <w:p w14:paraId="205637D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坚持“两个毫不动摇”，</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以关键改革牵引经济发展，统筹推进系统性、整体性、协同性改革，营造更加公平高效的市场环境，构建支撑高质量发展的制度优势。</w:t>
      </w:r>
    </w:p>
    <w:p w14:paraId="59B1DF58">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485" w:name="_Toc1662936297"/>
      <w:bookmarkStart w:id="486" w:name="_Toc1814058498"/>
      <w:bookmarkStart w:id="487" w:name="_Toc28424"/>
      <w:bookmarkStart w:id="488" w:name="_Toc1030941584"/>
      <w:bookmarkStart w:id="489" w:name="_Toc11632"/>
      <w:bookmarkStart w:id="490" w:name="_Toc1228541691"/>
      <w:bookmarkStart w:id="491" w:name="_Toc6349"/>
      <w:bookmarkStart w:id="492" w:name="_Toc2820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促进各类经营主体协同发展</w:t>
      </w:r>
      <w:bookmarkEnd w:id="485"/>
      <w:bookmarkEnd w:id="486"/>
      <w:bookmarkEnd w:id="487"/>
      <w:bookmarkEnd w:id="488"/>
      <w:bookmarkEnd w:id="489"/>
      <w:bookmarkEnd w:id="490"/>
      <w:bookmarkEnd w:id="491"/>
      <w:bookmarkEnd w:id="492"/>
    </w:p>
    <w:p w14:paraId="2C4B31F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bookmarkStart w:id="493" w:name="_Toc322718763"/>
      <w:bookmarkStart w:id="494" w:name="_Toc1594736390"/>
      <w:bookmarkStart w:id="495" w:name="_Toc25892"/>
      <w:bookmarkStart w:id="496" w:name="_Toc1067104312"/>
      <w:bookmarkStart w:id="497" w:name="_Toc30686"/>
      <w:bookmarkStart w:id="498" w:name="_Toc845405848"/>
      <w:bookmarkStart w:id="499" w:name="_Toc32601"/>
      <w:bookmarkStart w:id="500" w:name="_Toc32189"/>
      <w:bookmarkStart w:id="501" w:name="_Toc1728643988"/>
      <w:bookmarkStart w:id="502" w:name="_Toc11853"/>
      <w:bookmarkStart w:id="503" w:name="_Toc1206554721"/>
      <w:bookmarkStart w:id="504" w:name="_Toc1995095385"/>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促进国企民企优势互补、协同发展，</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鼓励和支持各类经营主体发展壮大，充分释放市场活力，</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构建多元共生、活力迸发的</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市场</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生态。</w:t>
      </w:r>
    </w:p>
    <w:p w14:paraId="3CDDB8E2">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深化国资国企改革。坚持全市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一盘棋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统筹推进国资国企高质量发展，加快国有经济布局优化和结构调整，力争</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时期新增AAA评级企业1家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AA+评级企业8家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AA评级企业4家。以支持做大做强主导产业集群为目标，强化国企聚焦主责主业投资发展，支持国有企业通过并购重组、股权投资、产业协同、联合攻关等方式，积极布局战略性新兴产业、前瞻谋划未来产业。加强市县国有企业协同，加快县域投融资体制改革，培育壮大县域国资国企。健全国企融资路径拓展机制，市县两级联动构建支撑国资国企高质量发展的融资体系。鼓励国企通过资产集约化实现规模倍增。健全现代企业治理，落实差异化考核机制。</w:t>
      </w:r>
    </w:p>
    <w:p w14:paraId="759C5714">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大力发展民营经济。推动民营企业扎根发展，围绕新能源汽车</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及零部件制造</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电子信息等主导产业，支持民企搭建产业链协同平台，加大研发投入补贴力度</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，实施“肇星计划”上市培育行动方案</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。建立政企直通车机制，重点对接重大项目。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实施优质企业梯度培育行动，构建“领航型企业—价值型企业—中坚型企业—活力型企业—基础型企业”五级梯度培育体系，推动资本、场景、数据等九大要素向优质企业高效集聚。</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大力发展合作经济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，支持中小微企业和个体工商户发展，推动大中小企业协同融通发展。</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加强经营主体提质增量工作，持续推动落实营商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环境工作措施。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营造更加互利共赢的投资环境，建立与民营企业常态化沟通交流机制和反映问题办理反馈闭环工作机制。全面落实民营经济促进法，完善法规政策体系。强化产权执法司法保护，加强对查封、扣押、冻结等强制措施的司法监督。</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完善中国特色现代企业制度，加快建设更多根植肇庆的国内一流企业。</w:t>
      </w:r>
    </w:p>
    <w:p w14:paraId="2C276CFE">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bookmarkStart w:id="505" w:name="_Toc178795039"/>
      <w:bookmarkStart w:id="506" w:name="_Toc307848442"/>
      <w:bookmarkStart w:id="507" w:name="_Toc1370037933"/>
      <w:bookmarkStart w:id="508" w:name="_Toc32641"/>
      <w:bookmarkStart w:id="509" w:name="_Toc14289"/>
      <w:bookmarkStart w:id="510" w:name="_Toc1734063171"/>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构建国企民企协同发展格局。</w:t>
      </w:r>
      <w:bookmarkStart w:id="511" w:name="_Toc29117"/>
      <w:bookmarkStart w:id="512" w:name="_Toc4431"/>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以深化国企改革为牵引，推动国有资本向新能源、电子信息、园区开发等重点领域集中。深化资本协同，依托肇庆国资高质量发展产业基金，撬动民间资本参与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两重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两新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建设，鼓励民营企业通过混合所有制改革、股权合作等方式融入国资布局，保障其平等参与公共资源交易。建立健全国企民企常态化对接平台，推广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国企建平台、民企促运营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协同发展模式。</w:t>
      </w:r>
      <w:bookmarkEnd w:id="505"/>
      <w:bookmarkEnd w:id="506"/>
      <w:bookmarkEnd w:id="507"/>
      <w:bookmarkEnd w:id="508"/>
      <w:bookmarkEnd w:id="509"/>
      <w:bookmarkEnd w:id="510"/>
    </w:p>
    <w:p w14:paraId="10347F0C">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13" w:name="_Toc581681697"/>
      <w:bookmarkStart w:id="514" w:name="_Toc7446"/>
      <w:bookmarkStart w:id="515" w:name="_Toc21422"/>
      <w:bookmarkStart w:id="516" w:name="_Toc465987458"/>
      <w:bookmarkStart w:id="517" w:name="_Toc1894036266"/>
      <w:bookmarkStart w:id="518" w:name="_Toc40031862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深化要素市场化配置综合改革</w:t>
      </w:r>
      <w:bookmarkEnd w:id="493"/>
      <w:bookmarkEnd w:id="494"/>
      <w:bookmarkEnd w:id="495"/>
      <w:bookmarkEnd w:id="496"/>
      <w:bookmarkEnd w:id="497"/>
      <w:bookmarkEnd w:id="498"/>
      <w:bookmarkEnd w:id="499"/>
      <w:bookmarkEnd w:id="500"/>
      <w:bookmarkEnd w:id="501"/>
      <w:bookmarkEnd w:id="502"/>
      <w:bookmarkEnd w:id="503"/>
      <w:bookmarkEnd w:id="504"/>
      <w:bookmarkEnd w:id="511"/>
      <w:bookmarkEnd w:id="512"/>
      <w:bookmarkEnd w:id="513"/>
      <w:bookmarkEnd w:id="514"/>
      <w:bookmarkEnd w:id="515"/>
      <w:bookmarkEnd w:id="516"/>
      <w:bookmarkEnd w:id="517"/>
      <w:bookmarkEnd w:id="518"/>
    </w:p>
    <w:p w14:paraId="5DB6745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深化要素市场化配置综合改革，统筹推进土地、</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人力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、资本、技术、数据、资源环境六大要素市场化配置改革，完善市场化配置机制，激活要素配置内生动力。</w:t>
      </w:r>
    </w:p>
    <w:p w14:paraId="5C71599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抓好要素市场化配置综合改革试点机遇。健全职务科技成果产权制度，完善科技创新资源配置方式，促进技术要素与资本要素融合发展。探索土地管理制度改革，优化产业用地供应方式，以市场化方式盘活存量土地，建立健全城乡统一的建设用地市场。深化户籍制度改革，畅通劳动力和人才社会性流动渠道，激发人才创新创业活力。完善公共数据开放共享机制，拓展规范化数据开发利用场景，加强数据安全保护。增加有效金融服务供给，利用好多层次资本市场。加快完善资源市场化交易机制，推动更多资源要素入场交易。</w:t>
      </w:r>
    </w:p>
    <w:p w14:paraId="157905D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以差异化改革破解发展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瓶颈</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要素协同、市场主导、场景牵引、闭环反哺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，结合肇庆资源禀赋，推动要素从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静态拥有</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动态运营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转变，切实将改革红利转化为企业活力、财政实力和民生福祉。深化融通高鼎端科教创新走廊科技资源赋能产业发展改革，着力打通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产学研用金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通道。推动产业用地类型合理转换、城乡建设用地增减挂钩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节</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余指标省域内交易、土地预登记推动闲置土地转让，推动土地管理从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刚性管制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弹性适配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转型。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开展</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生态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产品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价值实现机制改革试点，推广生态环境权益融资模式，实现保护与发展的良性循环。</w:t>
      </w:r>
    </w:p>
    <w:p w14:paraId="3BAFF20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强化要素市场化改革保障机制。建立健全要素市场化配置综合改革体制机制，一体推进改革工作。聚焦新质生产力，探索</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准入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要素</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场景</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协同改革，推动各类要素之间的协同支撑。适度统筹平衡并通过市场化运作畅通与外地合作的渠道，增加总量、改善结构，支持要素市场发展和重点企业落地。</w:t>
      </w:r>
    </w:p>
    <w:p w14:paraId="5B865FA0">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19" w:name="_Toc1770617519"/>
      <w:bookmarkStart w:id="520" w:name="_Toc13493"/>
      <w:bookmarkStart w:id="521" w:name="_Toc18248"/>
      <w:bookmarkStart w:id="522" w:name="_Toc14341"/>
      <w:bookmarkStart w:id="523" w:name="_Toc8827"/>
      <w:bookmarkStart w:id="524" w:name="_Toc119902880"/>
      <w:bookmarkStart w:id="525" w:name="_Toc1993603266"/>
      <w:bookmarkStart w:id="526" w:name="_Toc81934530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深化投融资体制和财税改革</w:t>
      </w:r>
      <w:bookmarkEnd w:id="519"/>
      <w:bookmarkEnd w:id="520"/>
      <w:bookmarkEnd w:id="521"/>
      <w:bookmarkEnd w:id="522"/>
      <w:bookmarkEnd w:id="523"/>
      <w:bookmarkEnd w:id="524"/>
      <w:bookmarkEnd w:id="525"/>
      <w:bookmarkEnd w:id="526"/>
    </w:p>
    <w:p w14:paraId="1C0F52E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激发社会资本活力、优化投资结构，推进预算管理精细化与资金配置高效化，强化财源培植与基层财力保障，提升政策精准性与落地效能</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p>
    <w:p w14:paraId="3C52A7A5">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投融资体制改革。聚焦城乡基础设施、交通基础设施、水利工程、生态环保基础设施、片区开发等重点领域，推动民营企业参与基础设施项目建设，打造民生工程的运营商和服务商以及创新资源配置的重要载体和平台。探索实施融资畅通工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聚焦重大战略、民营企业、小微企业等重点领域，加大制造业、战略性新兴产业中长期资金支持。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健全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小微企业融资协调工作机制，打通金融惠企利民的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最后一公里</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。大力拓展多元融资渠道，</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支持企业通过发债、股权融资等扩大直接融资</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。盘活利用国有企业、机关事业单位闲置低效资源资产，用足用好各类产业基金、专项资金。深化投资项目审批制度改革，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探索</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拓展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双容双承诺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改革范围，建立审批制度改革创新容错免责机制，鼓励和支持行政审批制度改革创新。</w:t>
      </w:r>
    </w:p>
    <w:p w14:paraId="5A3E46BF">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楷体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财税体制改革。完善东部城区一体化事权财权管理，建立权责清晰、财力协调、区域均衡的市、区两级财政关系，提升市、区两级财力事权相匹配程度。探索建立跨区域产业转移、重大基础设施建设、园区合作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成本共担、利益共享</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机制，实现互利共赢、共同发展。推进财政科学管理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体系</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设，重点做大增量，加强财政资源和预算统筹，分类优化单位非财政拨款收入管理，逐步实现与财政拨款支出统筹安排使用。深化零基预算改革，突出规则和标准先行，大力优化支出结构，做到有保有压、能增能减、可进可退。强化成本绩效管理链条，将成本效益分析贯穿预算编制、执行、监督管理和结果运用全过程。建立对第三方财富管理公司、私募基金等相关行业的长效监管机制，提高规范化管理水平。深化财政资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补改投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深挖</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各县（市、区）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补改投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亮点项目，积极争取省级现代农业产业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补改投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资金支持。着力完善税费征管体系，稳步落实消费税改革任务</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024A2E17">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27" w:name="_Toc1230155185"/>
      <w:bookmarkStart w:id="528" w:name="_Toc12137"/>
      <w:bookmarkStart w:id="529" w:name="_Toc979776007"/>
      <w:bookmarkStart w:id="530" w:name="_Toc10780"/>
      <w:bookmarkStart w:id="531" w:name="_Toc1154416051"/>
      <w:bookmarkStart w:id="532" w:name="_Toc28253"/>
      <w:bookmarkStart w:id="533" w:name="_Toc32191"/>
      <w:bookmarkStart w:id="534" w:name="_Toc47640057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打造市场化、法治化、国际化的营商环境</w:t>
      </w:r>
      <w:bookmarkEnd w:id="527"/>
      <w:bookmarkEnd w:id="528"/>
      <w:bookmarkEnd w:id="529"/>
      <w:bookmarkEnd w:id="530"/>
      <w:bookmarkEnd w:id="531"/>
      <w:bookmarkEnd w:id="532"/>
      <w:bookmarkEnd w:id="533"/>
      <w:bookmarkEnd w:id="534"/>
    </w:p>
    <w:p w14:paraId="798FE3F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进一步构建完善“全肇办”企业服务体系，营造市场化、法治化、国际化一流营商环境，推动“肇庆服务、天天进步”，让各类经营主体放心投资、安心经营、专心发展。</w:t>
      </w:r>
    </w:p>
    <w:p w14:paraId="3513659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营造公平有序的市场化营商环境。坚决破除隐性壁垒，保障各类所有制企业公平参与市场竞争。持续开展商事制度改革，便利市场准入、准营和退出。加快人工智能在各类公共资源招标投标活动中的应用，深化制度、技术、数据融合，提升智能交易服务和监管水平。完善政府采购和招标投标市场规范健康发展的体制机制，全面推行远程异地开标评标，减少各类不合理限制和交易壁垒。深化产业用地、用能、用工等改革，推广“标准地”“交地即开工”模式，健全涉企收费长效监管机制，降低制度性交易成本。完善产业生态环境，推动物流成本下降和效率提升，降低系统性成本。全面落实涉企减税降费、惠企扶企等政策。强化中介服务监管，提升中介服务水平。弘扬企业家精神，营造尊商重企的良好氛围。</w:t>
      </w:r>
    </w:p>
    <w:p w14:paraId="6650D70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构建稳定公正的法治化营商环境。以法治化为营商环境的基石，完善产权保护、公平竞争等制度体系。深化包容审慎监管，推行执法“观察期”、行政执法减免责清单、涉企“综合查一次”等</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制度，持续为企业松绑减负</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妥善化解涉企矛盾纠纷，维护企业和企业家合法权益。提升民商事案例审判效率，强化执行质效。塑造“法治是最好的营商环境”城市形象，提升市场主体投资信心。</w:t>
      </w:r>
    </w:p>
    <w:p w14:paraId="3B4586B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提升开放包容的国际化营商环境。全面落实外资准入负面清单，对接世界银行营商环境评价体系及国际高标准营商规则，为市场主体提供与国际接轨的服务保障。进一步优化口岸营商环境，</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有序推进智慧口岸建设，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口岸通关效率，优化跨境贸易服务。深化与港澳商事调解制度衔接，完善多元化纠纷解决机制。吸引外资布局高端制造、现代服务业，支持企业参与RCEP合作。强化国际人才服务，完善签证、医疗、教育等配套，提高港澳人士、外籍人员来肇工作生活舒适度。围绕项目投资、资金流动、法律衔接等方面，完善外资服务体系。</w:t>
      </w:r>
    </w:p>
    <w:p w14:paraId="2C0FD07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持续擦亮“全肇办”营商品牌。坚持“企业第一”服务理念，完善“企业·市长直通车”、12345政务服务热线等渠道，推进“即接即办”改革，建立常态化政企沟通机制，实现群众和企业诉求接得更快、分得更准、办得更实、体验更好。推动政府职能转变，提升政务服务水平，努力实现审批备案事项最少、速度最快、服务最好。深化营商“微”环境治理，通过小切口、微视角精准摸排企业生产经营堵点，以精细化服务破解企业办事难题、提升企业获得感。以企业全生命周期需求为导向，深化审批事项“全流程再造”改革，拓展“高效办成一件事”场景覆盖，推动政务服务从“能办”向“好办、快办、智办”升级。依托大数据搭建政策匹配器，实现国家、省、市及园区政策的“一站汇、极速配、精准算、便捷办”。</w:t>
      </w:r>
    </w:p>
    <w:p w14:paraId="75C5CD92">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35" w:name="_Toc212564228"/>
      <w:bookmarkStart w:id="536" w:name="_Toc29020"/>
      <w:bookmarkStart w:id="537" w:name="_Toc613420336"/>
      <w:bookmarkStart w:id="538" w:name="_Toc77610034"/>
      <w:bookmarkStart w:id="539" w:name="_Toc1095"/>
      <w:bookmarkStart w:id="540" w:name="_Toc11688"/>
      <w:bookmarkStart w:id="541" w:name="_Toc1161893011"/>
      <w:bookmarkStart w:id="542" w:name="_Toc1155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建设现代金融体系</w:t>
      </w:r>
      <w:bookmarkEnd w:id="535"/>
      <w:bookmarkEnd w:id="536"/>
      <w:bookmarkEnd w:id="537"/>
      <w:bookmarkEnd w:id="538"/>
      <w:bookmarkEnd w:id="539"/>
      <w:bookmarkEnd w:id="540"/>
      <w:bookmarkEnd w:id="541"/>
      <w:bookmarkEnd w:id="542"/>
    </w:p>
    <w:p w14:paraId="4F644F1B">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壮大金融产业规模，发挥金融服务产业、城建、乡村振兴等方面的作用，为我市经济升级和社会发展注入金融“活水”。</w:t>
      </w:r>
    </w:p>
    <w:p w14:paraId="2894170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夯实金融发展基础。优化全市金融机构布局，加快构建分工协作的金融机构体系，打造“肇字号”金融服务模式。完善金融业务体系，依托肇庆信易贷平台深化“政银信”联动，鼓励中小金融机构开展差异化、特色化经营。紧扣实体经济发展需求，推动金融机构与县（市、区）政府战略合作。优化县域特色金融生态，加大对县域经济发展的信贷支持力度。巩固农合机构改制成果，</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深入推进农村信用体系建设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，完善不良资产处置机制。规范发展小额贷款、融资担保等地方金融组织，持续创新知识产权质押融资模式。落实农业融资担保费率优惠政策，构建多层次、广覆盖的普惠金融服务网络。</w:t>
      </w:r>
    </w:p>
    <w:p w14:paraId="2C819DA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优化特色金融服务供给。加快科技金融发展，</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政银保企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常态化对接机制，加强与人民银行联动，进一步推广做实科技人才贷、技术入股贷等产品，开发知识产权质押、研发贷等产品。在肇庆高新区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、肇庆砚阳湖高新区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地区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金融+产业+科技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综合服务。搭建数字化科技金融服务平台，整合企业征信、政策匹配、融资对接功能，实现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企业画像</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需求匹配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放款跟踪</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闭环服务。完善对科技型企业的风险补偿与容错机制，强化孵化资金与金融工具协同，推广科创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培育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联动模式。</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做强绿色金融产品并探索生态产品价值实现机制建设，结合碳账户推广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云碳</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云数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系列金融产品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。创新发展普惠金融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产品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，鼓励金融机构开发适合中小微企业的特色金融产品，开发</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园区贷</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供应链金融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等产品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。推动金融资源下沉基层，创新农业设施抵押、畜禽活体抵押贷款、知识产权质押等融资模式，精准赋能乡村振兴。推进农业保险投保理赔“双精准”，创新肇庆特色农产品保险、气象指数保险等险种。</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深化养老金融服务提质，扩大个人养老金账户覆盖面，加快推广服务消费与养老再贷款，大力发展养老产业贷等融资模式</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。引导辖内银行保险机构加快发展数字金融，增强数字化经营服务能力。加快推动保险机构高质量发展，鼓励保险机构加强对现代化产业体系建设、“五篇大文章</w:t>
      </w:r>
      <w:r>
        <w:rPr>
          <w:rStyle w:val="29"/>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footnoteReference w:id="3"/>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”等重点领域的保险保障。</w:t>
      </w:r>
    </w:p>
    <w:p w14:paraId="4FBD266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推动跨境金融合作发展。</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聚焦文旅、养老、教育等民生领域，强化与港澳的金融合作。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创新“</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跨境结算</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政策咨询</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一体化模式，为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外贸企业、</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港澳居民提供跨境金融服务</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政银企协作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赋能企业跨境发展，帮助本土企业开拓海外市场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做好跨境金融区块链服务平台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平台应用推广和融资需求培育，切实帮助企业解决融资问题。‌推广跨境双向人民币资金池业务等措施，进一步提升贸易投资便利化水平</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16B73E3F">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43" w:name="_Toc31819"/>
      <w:bookmarkStart w:id="544" w:name="_Toc1907410948"/>
      <w:bookmarkStart w:id="545" w:name="_Toc1022025552"/>
      <w:bookmarkStart w:id="546" w:name="_Toc20607"/>
      <w:bookmarkStart w:id="547" w:name="_Toc6566"/>
      <w:bookmarkStart w:id="548" w:name="_Toc1574120490"/>
      <w:bookmarkStart w:id="549" w:name="_Toc26531"/>
      <w:bookmarkStart w:id="550" w:name="_Toc23359865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第六节  深化高水平对外开放</w:t>
      </w:r>
      <w:bookmarkEnd w:id="543"/>
      <w:bookmarkEnd w:id="544"/>
      <w:bookmarkEnd w:id="545"/>
      <w:bookmarkEnd w:id="546"/>
      <w:bookmarkEnd w:id="547"/>
      <w:bookmarkEnd w:id="548"/>
      <w:bookmarkEnd w:id="549"/>
      <w:bookmarkEnd w:id="550"/>
    </w:p>
    <w:p w14:paraId="7E29763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坚持高水平</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引进来</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和高质量</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走出去</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并重，打好</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五外联动</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组合拳，建设更高水平开放型经济新体制，塑造对外开放新动能新优势</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p>
    <w:p w14:paraId="4FB80A5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提升外贸提质增效水平。</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推动“新三样”、机电、建材、五金出口产业集群发展，加强优势产品的品牌建设。</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推动出口产品高端化、智能化、绿色化，提高出口产品附加值，做大高技术产品出口</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支持</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新一代</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电子信息、生物医药、新能源、新材料等先进制造业和战略性新兴产业加工贸易发展。推进再生金属行业围绕新能源汽车及零部件制造、新型储能等新兴产业布局</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增加重要物资、大宗商品、先进设备及技术进口。</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支持外贸综合服务企业发展，培育外贸综合服务企业。支持肇庆企业积极应对国际贸易环境变化，提升贸易风险防范能力。积极开展AEO认证企业培育，助企降本增效、提档升级。进一步</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强化展会支持，做好</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bidi="ar"/>
          <w14:textFill>
            <w14:solidFill>
              <w14:schemeClr w14:val="tx1"/>
            </w14:solidFill>
          </w14:textFill>
        </w:rPr>
        <w:t>粤贸全球</w:t>
      </w: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广交会、跨交会、进博会、加博会等重点展会组展服务，巩固欧美日韩传统市场，重点开拓东盟、中东、非洲、拉美等新兴市场。建立商务、贸促、海关、重点行业商协会、重点出口企业等联动的贸易救济预警机制，持续强化经贸风险信息共享、协同防范，加强企业出海风险提示，完善地方贸易摩擦应对政策措施和地方贸易援助制度，更好指导企业根据国家规定依法申请贸易救济。</w:t>
      </w:r>
    </w:p>
    <w:p w14:paraId="51E213B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大高质量利用外资规模。支持外资参与新能源汽车</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及零部件制造</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新一代</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电子信息等主导产业发展，鼓励跨国公司分支机构、研发中心及产业链核心企业在肇布局。优化外资服务</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体系</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落实外资企业国民待遇。用好扩大服务业开放、推动制造业与服务业融合发展等政策红利，积极发挥生产性服务业对制造业发展的支撑作用，支持外商投资企业发展研发设计、服务外包、金融服务、现代物流、供应链管理、信息服务等生产性服务业。</w:t>
      </w:r>
    </w:p>
    <w:p w14:paraId="302529A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拓展对外经济合作空间。</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中国（肇庆）跨境电商综合试验区建设，强化东部板块跨境电商供应链枢纽功能，大力推广“跨境电商+产业带”模式，带动小商品制造集聚发展及数字化转型，优化跨境电商出口监管模式，鼓励企业建设海外仓。支持跨境电商卖家、供应链企业与东南亚、中东、南美、非洲、加勒比海等新兴市场头部电商平台密切合作</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。深化RCEP等自贸协定落地应用，推广原产地证书智能审核、自助打印等便利化措施，支持企业申办优惠原产地证书降低关税成本。加快推进涉外法治体系和能力建设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实施企业知识产权</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出海护航</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计划，完善知识产权纠纷多元化解决机制。</w:t>
      </w:r>
    </w:p>
    <w:p w14:paraId="6E4A800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培育服务外包发展新优势。拓展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一带一路</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共建国家外贸外包市场，围绕新能源汽车研发设计、</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新一代</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电子信息检测认证等领域，培育一批省级服务外包企业。依托肇庆高新区、肇庆新区建设外包产业集聚区，联动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中国（肇庆）</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跨境电商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综合试验区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、保税物流中心，引入跨境贸易金融后台、外贸供应链管理等外包项目。推动外贸综合服务业发展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外包企业数字化转型，建设全市外包服务云平台，实现供需精准对接。</w:t>
      </w:r>
    </w:p>
    <w:p w14:paraId="379EE69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仿宋_GB2312"/>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化海外智力引进与合作。围绕主导产业精准引智，布局海外人才联络站，深化与港澳及海外高校、科研院所产学研协同，推广</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人才+项目</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引育模式，靶向引进顶尖创新团队与紧缺专业人才。落实</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西江人才计划</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系列政策，完善海外人才安居、科研配套、成果转化全链条服务保障，推动海外智力资源与产业链、创新链深度融合，以高端外智赋能新质生产力培育。做好新时代</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侨</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的文章，引进侨资侨智，汇聚侨心侨力。</w:t>
      </w:r>
    </w:p>
    <w:tbl>
      <w:tblPr>
        <w:tblStyle w:val="24"/>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27BA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1" w:type="dxa"/>
            <w:vAlign w:val="center"/>
          </w:tcPr>
          <w:p w14:paraId="4C3B8B48">
            <w:pPr>
              <w:pStyle w:val="8"/>
              <w:widowControl w:val="0"/>
              <w:kinsoku/>
              <w:overflowPunct w:val="0"/>
              <w:autoSpaceDE/>
              <w:autoSpaceDN/>
              <w:adjustRightInd/>
              <w:snapToGrid/>
              <w:spacing w:after="0" w:line="500" w:lineRule="exact"/>
              <w:jc w:val="center"/>
              <w:rPr>
                <w:rFonts w:ascii="Times New Roman" w:hAnsi="Times New Roman"/>
                <w:snapToGrid/>
                <w:color w:val="000000" w:themeColor="text1"/>
                <w:kern w:val="21"/>
                <w:lang w:eastAsia="zh-CN"/>
                <w14:textFill>
                  <w14:solidFill>
                    <w14:schemeClr w14:val="tx1"/>
                  </w14:solidFill>
                </w14:textFill>
              </w:rPr>
            </w:pPr>
            <w:r>
              <w:rPr>
                <w:rFonts w:ascii="Times New Roman" w:hAnsi="Times New Roman" w:eastAsia="方正小标宋简体"/>
                <w:snapToGrid/>
                <w:color w:val="000000" w:themeColor="text1"/>
                <w:kern w:val="21"/>
                <w:sz w:val="32"/>
                <w:szCs w:val="32"/>
                <w14:textFill>
                  <w14:solidFill>
                    <w14:schemeClr w14:val="tx1"/>
                  </w14:solidFill>
                </w14:textFill>
              </w:rPr>
              <w:t>专栏</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11</w:t>
            </w:r>
            <w:r>
              <w:rPr>
                <w:rFonts w:ascii="Times New Roman" w:hAnsi="Times New Roman" w:eastAsia="方正小标宋简体"/>
                <w:snapToGrid/>
                <w:color w:val="000000" w:themeColor="text1"/>
                <w:kern w:val="21"/>
                <w:sz w:val="32"/>
                <w:szCs w:val="32"/>
                <w14:textFill>
                  <w14:solidFill>
                    <w14:schemeClr w14:val="tx1"/>
                  </w14:solidFill>
                </w14:textFill>
              </w:rPr>
              <w:t>：</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snapToGrid/>
                <w:color w:val="000000" w:themeColor="text1"/>
                <w:kern w:val="21"/>
                <w:sz w:val="32"/>
                <w:szCs w:val="32"/>
                <w14:textFill>
                  <w14:solidFill>
                    <w14:schemeClr w14:val="tx1"/>
                  </w14:solidFill>
                </w14:textFill>
              </w:rPr>
              <w:t>十</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snapToGrid/>
                <w:color w:val="000000" w:themeColor="text1"/>
                <w:kern w:val="21"/>
                <w:sz w:val="32"/>
                <w:szCs w:val="32"/>
                <w14:textFill>
                  <w14:solidFill>
                    <w14:schemeClr w14:val="tx1"/>
                  </w14:solidFill>
                </w14:textFill>
              </w:rPr>
              <w:t>时期</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肇庆市</w:t>
            </w:r>
            <w:r>
              <w:rPr>
                <w:rFonts w:ascii="Times New Roman" w:hAnsi="Times New Roman" w:eastAsia="方正小标宋简体"/>
                <w:snapToGrid/>
                <w:color w:val="000000" w:themeColor="text1"/>
                <w:kern w:val="21"/>
                <w:sz w:val="32"/>
                <w:szCs w:val="32"/>
                <w14:textFill>
                  <w14:solidFill>
                    <w14:schemeClr w14:val="tx1"/>
                  </w14:solidFill>
                </w14:textFill>
              </w:rPr>
              <w:t>重大改革事项</w:t>
            </w:r>
          </w:p>
        </w:tc>
      </w:tr>
      <w:tr w14:paraId="4D0A3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37EFDC9A">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一、重点领域改革</w:t>
            </w:r>
          </w:p>
          <w:p w14:paraId="0C25D6B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经济体制改革</w:t>
            </w:r>
          </w:p>
          <w:p w14:paraId="1E2C4D11">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投融资体制改革：加大制造业、战略性新兴产业中长期资金支持。推动民营企业参与基础设施项目建设。深化支持小微企业融资协调工作机制。盘活利用国有企业、机关事业单位闲置低效资源资产。深化投资项目审批制度改革，探索拓展“双容双承诺”改革范围，建立审批制度改革创新容错免责机制。</w:t>
            </w:r>
          </w:p>
          <w:p w14:paraId="439892E1">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财税体制改革</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落实税收制度改革，深入实施数字化转型条件下的税费征管</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强基工程</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，一体推进依法治税、以数治税、从严治税，打造现代化税费征管体系。</w:t>
            </w:r>
          </w:p>
          <w:p w14:paraId="60974B9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国资领域改革：深化国资国企改革，加快优质国有资产证券化，提升国有资本经营效益。推进闲置低效国有资产盘活利用，引导社会资本参与盘活存量国有资产。</w:t>
            </w:r>
          </w:p>
          <w:p w14:paraId="3E234773">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土地要素领域改革：健全城乡建设用地增减挂钩节余指标省域内交易机制，在德庆等地全域土地综合整治项目中先行先试。推进产业用地类型合理转换，完善用途变更、整合置换政策，支持工业+研发+办公混合利用，并稳妥实施存量房地产用地商住比调整。创新闲置土地盘活路径，全面推行建设用地使用权转让预告登记制度，畅通闲置土地合规转让渠道，提升存量土地资源配置效率。</w:t>
            </w:r>
          </w:p>
          <w:p w14:paraId="2417294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数据要素领域改革：出台公共数据配套政策，健全公共数据开发利用制度体系。升级“一网共享”平台肇庆分节点、公共数据授权运营平台，建设1—2个标杆可信数据空间。培育壮大数据要素产业生态，组建全市数据要素行业协会，创建数据要素集聚区。</w:t>
            </w:r>
          </w:p>
          <w:p w14:paraId="7A7D682D">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落实大湾区内地九市要素市场化配置综合改革试点：促进技术要素成果转化、提高土地要素配置效率、引导人力资源要素畅通流动、加快培育数据要素市场、增强资本要素配置能力、加强资源环境市场制度建设、全面提高要素协同配置效率。</w:t>
            </w:r>
          </w:p>
          <w:p w14:paraId="72427880">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科技体制改革</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：深化融通高鼎端科教创新走廊科技资源赋能产业发展改革，着力打通“产学研用金”通道。</w:t>
            </w:r>
          </w:p>
          <w:p w14:paraId="4A170280">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二、各地改革创新任务</w:t>
            </w:r>
          </w:p>
          <w:p w14:paraId="105997B2">
            <w:pPr>
              <w:widowControl w:val="0"/>
              <w:kinsoku/>
              <w:overflowPunct w:val="0"/>
              <w:autoSpaceDE/>
              <w:autoSpaceDN/>
              <w:adjustRightInd/>
              <w:snapToGrid/>
              <w:spacing w:line="400" w:lineRule="exact"/>
              <w:ind w:firstLine="560" w:firstLineChars="200"/>
              <w:jc w:val="both"/>
              <w:rPr>
                <w:rFonts w:ascii="Times New Roman" w:hAnsi="Times New Roman"/>
                <w:snapToGrid/>
                <w:color w:val="000000" w:themeColor="text1"/>
                <w:kern w:val="21"/>
                <w:sz w:val="28"/>
                <w:szCs w:val="28"/>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1.端州区：提高土地要素利用效率，持续深化并完善过渡性开发机制，进一步盘活政府储备用地以及集体经济组织留（自）用地，稳妥有序推进村集体用地落实过渡性开发，充分释放存量土地开发潜力。</w:t>
            </w:r>
          </w:p>
          <w:p w14:paraId="36ECC9AE">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2.鼎湖区（肇庆新区）：推动肇庆砚阳湖高新区管委会实体化运作，完善</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管委会+国有开发运营</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运营机制，激活园区发展动能。推动投融资体制改革，支持国企拓展融资渠道</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壮大市场化业务、优化投资布局，推进国企重组整合</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0EC9334D">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3.高要区：紧扣城乡融合与空间优化主线，推进国家新型城镇化潜力县域试点建设。深化土地制度改革，以全域整治盘活存量土地，推广金利镇供地模式，保障重点项目用地需求。</w:t>
            </w:r>
          </w:p>
          <w:p w14:paraId="521052E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4.四会市：广东省第一批以县城为重要载体的城镇化建设提质增效行动支持的县（市）、县镇管理体制改革试点、经常居住地登记户口制度改革试点、县域国企改革优化融资模式重点县、农业农村基础设施项目投资建设管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集成式</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改革试点、数字乡村建设试点。</w:t>
            </w:r>
          </w:p>
          <w:p w14:paraId="3F926B54">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5.广宁县：国家紧密型县域医疗卫生共同体建设试点县，探索医防、医育、医校、医企、医养</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五医融合</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模式；广东省第三批以县城为重要载</w:t>
            </w:r>
            <w:r>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体的城镇化建设试点、城市全域数字化转型试点、第二轮土地承包到期后再延长30年试点县，探索开展</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林耕置换</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，推进撂荒农用地整治项目。</w:t>
            </w:r>
          </w:p>
          <w:p w14:paraId="6D48D7E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6.德庆县：国家紧密型县域医共体建设试点县，广东省第二批以县城为重要载体的城镇化建设试点、第二批整县推进农文旅融合发展试点、首批</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农业政策性金融服务数字+农业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试点、公共就业服务能力提升示范项目试点、马圩镇新农村示范小区入选省未来社区（完整社区）建设试点。</w:t>
            </w:r>
          </w:p>
          <w:p w14:paraId="4AF47446">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7.封开县：广东省第三批以县城为重要载体的城镇化建设试点、第二批整县推进农文旅融合发展试点，推动金装镇开展第二轮土地承包到期后再延长30年试点、南丰镇开展全域土地综合整治。</w:t>
            </w:r>
          </w:p>
          <w:p w14:paraId="2773E009">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8.怀集县：国家知识产权强县建设试点（地理标志类）、怀集县全域土地综合整治试点（冷坑镇水口村、谭庙村、龙岗村、双甘村）、深化农村集体产权制度专项改革试点，广东省第三批以县城为重要载体的城镇化建设试点、综合救助服务平台试点（民生保障类）。</w:t>
            </w:r>
          </w:p>
          <w:p w14:paraId="2A7180E7">
            <w:pPr>
              <w:pStyle w:val="8"/>
              <w:widowControl w:val="0"/>
              <w:kinsoku/>
              <w:overflowPunct w:val="0"/>
              <w:autoSpaceDE/>
              <w:autoSpaceDN/>
              <w:adjustRightInd/>
              <w:snapToGrid/>
              <w:spacing w:after="156" w:afterLines="50" w:line="40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ascii="Times New Roman" w:hAnsi="Times New Roman" w:eastAsia="方正仿宋_GBK"/>
                <w:snapToGrid/>
                <w:color w:val="000000" w:themeColor="text1"/>
                <w:kern w:val="21"/>
                <w:sz w:val="28"/>
                <w:szCs w:val="28"/>
                <w:lang w:eastAsia="zh-CN"/>
                <w14:textFill>
                  <w14:solidFill>
                    <w14:schemeClr w14:val="tx1"/>
                  </w14:solidFill>
                </w14:textFill>
              </w:rPr>
              <w:t>9.肇庆高新区：国家碳达峰试点园区、知识产权强国建设试点园区，广东省首批城市全域数字化转型试点建设、首个大规模推广的电碳因子试点、空天地数据试点赋能高效能政府治理试点。</w:t>
            </w:r>
          </w:p>
        </w:tc>
      </w:tr>
    </w:tbl>
    <w:p w14:paraId="756AD64E">
      <w:pPr>
        <w:pStyle w:val="8"/>
        <w:widowControl w:val="0"/>
        <w:kinsoku/>
        <w:overflowPunct w:val="0"/>
        <w:autoSpaceDE/>
        <w:autoSpaceDN/>
        <w:adjustRightInd/>
        <w:snapToGrid/>
        <w:spacing w:after="160" w:line="400" w:lineRule="exact"/>
        <w:rPr>
          <w:rFonts w:ascii="Times New Roman" w:hAnsi="Times New Roman" w:eastAsia="方正仿宋_GBK"/>
          <w:snapToGrid/>
          <w:color w:val="000000" w:themeColor="text1"/>
          <w:kern w:val="21"/>
          <w:lang w:eastAsia="zh-CN"/>
          <w14:textFill>
            <w14:solidFill>
              <w14:schemeClr w14:val="tx1"/>
            </w14:solidFill>
          </w14:textFill>
        </w:rPr>
      </w:pPr>
    </w:p>
    <w:p w14:paraId="62F014B6">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551" w:name="_Toc11295"/>
      <w:bookmarkStart w:id="552" w:name="_Toc1177198219"/>
      <w:bookmarkStart w:id="553" w:name="_Toc23251"/>
      <w:bookmarkStart w:id="554" w:name="_Toc1422974278"/>
      <w:bookmarkStart w:id="555" w:name="_Toc18650"/>
      <w:bookmarkStart w:id="556" w:name="_Toc1351356394"/>
      <w:bookmarkStart w:id="557" w:name="_Toc14062"/>
      <w:bookmarkStart w:id="558" w:name="_Toc418984112"/>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九</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深入实施</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百县千镇万村高质量发展工程</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w:t>
      </w:r>
      <w:bookmarkEnd w:id="551"/>
      <w:bookmarkEnd w:id="552"/>
      <w:bookmarkEnd w:id="553"/>
    </w:p>
    <w:p w14:paraId="5F2DB4A6">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559" w:name="_Toc1107491660"/>
      <w:bookmarkStart w:id="560" w:name="_Toc10004"/>
      <w:bookmarkStart w:id="561" w:name="_Toc17340"/>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推进</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城乡融合发展</w:t>
      </w:r>
      <w:bookmarkEnd w:id="554"/>
      <w:bookmarkEnd w:id="555"/>
      <w:bookmarkEnd w:id="556"/>
      <w:bookmarkEnd w:id="557"/>
      <w:bookmarkEnd w:id="558"/>
      <w:bookmarkEnd w:id="559"/>
      <w:bookmarkEnd w:id="560"/>
      <w:bookmarkEnd w:id="561"/>
    </w:p>
    <w:p w14:paraId="1BB6923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3B3D13A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坚持农业农村优先发展，深化县镇村联动，一体推动兴业、强县、富民，</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确保不发生规模性返贫致贫，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推动农村基本具备现代生活条件，加快农业农村现代化。</w:t>
      </w:r>
    </w:p>
    <w:p w14:paraId="2A8F5844">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62" w:name="_Toc1807794445"/>
      <w:bookmarkStart w:id="563" w:name="_Toc345158988"/>
      <w:bookmarkStart w:id="564" w:name="_Toc1460576276"/>
      <w:bookmarkStart w:id="565" w:name="_Toc419304407"/>
      <w:bookmarkStart w:id="566" w:name="_Toc582"/>
      <w:bookmarkStart w:id="567" w:name="_Toc28344"/>
      <w:bookmarkStart w:id="568" w:name="_Toc19278"/>
      <w:bookmarkStart w:id="569" w:name="_Toc2506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加快构建现代农业产业体系</w:t>
      </w:r>
      <w:bookmarkEnd w:id="562"/>
      <w:bookmarkEnd w:id="563"/>
      <w:bookmarkEnd w:id="564"/>
      <w:bookmarkEnd w:id="565"/>
      <w:bookmarkEnd w:id="566"/>
      <w:bookmarkEnd w:id="567"/>
      <w:bookmarkEnd w:id="568"/>
      <w:bookmarkEnd w:id="569"/>
    </w:p>
    <w:p w14:paraId="387A2E1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坚持以工业化理念、全产业链思维发展现代农业，聚焦产业提质、科技赋能、主体培育，加快构建产加销贯通、农文旅融合的现代农业产业体系。</w:t>
      </w:r>
    </w:p>
    <w:p w14:paraId="0E4D2CA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打造粤港澳大湾区生态粮仓。强化耕地保护质量管控，健全耕地数量、质量、生态“三位一体”保护制度体系</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，强化怀集盆地等集中连片耕地保护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稳定粮食种植面积，开展水稻大面积单产提升行动，以粮油绿色高产高效创建和水稻合理密植提单产等项目为抓手，大力推广种植节水抗旱稻，带动全市粮食单产均衡提升。着力抓好粮食生产和“菜篮子”工程建设，加快推进高要、怀集、封开等地高标准农田建设，支持怀集县建设国家级水稻制种大县。坚持农林牧渔并举，构建多元化食物供给体系，保障大湾区农副产品稳定供应。有序推进全域土地综合整治，打造集中连片、可长期持续稳定利用的优质良田。培育市场化运营、政府支持、平战结合、指挥高效的区域农机服务中心，积极推进无人机在水稻播种和水稻、蔬菜、南药、水果等作物植保生产管护的应用，建设一批无人智慧农场。</w:t>
      </w:r>
    </w:p>
    <w:p w14:paraId="5331E5A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持续推进农业强市“成百上千”工程。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打造十个100亿元、50亿元农业产业集群和一批10亿元农业全产业链大单品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期末农林牧渔业总产值突破千亿元大关。实施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一县一品牌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行动，完善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肇庆大地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平台服务功能，不断提升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肇农优品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品牌影响力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。依托高要、德庆、封开等南药主产区，推进道地药材规范化种植，打造南药种植基地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；推动南药全产业链发展，建设中国南药食养高地。拓展农产品精深加工领域，推动畜禽、水果、南药等产业向精深加工转型，加快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鼎湖沙浦镇建设农业产业强镇，推动封开县农副产品深加工基地建设。延伸发展农村电商、中央厨房、定制农业、植物工厂等新型业态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，利用电商平台、展销厅、直播基地等，通过“线上+线下”融合模式展销本地名特优新产品。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大力发展休闲农业、都市农业以及</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乡村精品游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31640D7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农业科技创新与装备支撑。搭建特色农业科创平台，聚焦高要肉桂、德庆巴戟天、四会沙糖桔、德庆贡柑、怀集蔬菜、封开杏花鸡、广宁竹笋等优势产业，联合省农科院、华南农业大学等高校科研院所，深化特色农业研究。谋划广东省南方大豆产业园，支持封开县建设南方大豆种质资源圃。重点围绕南药优质高产品种、优质稻品种、水稻制种、病虫害绿色防控技术、柑橘深加工等领域，突破农业关键核心技术。强化农机装备适配支撑，研发推广适配特色产业的轻型化、智能化农机装备，支持无人机植保、智能耕种、精准施肥等现代农机应用，提升农业生产机械化、自动化水平。</w:t>
      </w:r>
    </w:p>
    <w:p w14:paraId="459B926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推动现代农业产业园提质增效。补齐产业链短板和关键环节，加快高要区国家现代农业产业园和怀集畜禽加工“补改投”省级现代农业产业园项目建设，</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支持怀集申报国家级农业产业园</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推进鼎湖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水产等省级现代农业产业园建设。深化财政资金引领农业产业建设，加快怀集畜禽和高要水产“补改投”项目建设，打造一批酸菜、竹产业等“补改投”市级项目，建成德庆县小黄瓜“补改投”市级现代农业产业园。</w:t>
      </w:r>
    </w:p>
    <w:p w14:paraId="38FE3A2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新型农业经营主体。重点扶持家庭农场、农民专业合作社、农业企业等新型农业经营主体发展。优化新型农业经营主体发展环境，简化注册登记、项目申报等流程，在用地、用水、用电等方面给予政策倾斜，搭建银企对接平台，引导金融机构提供针对性信贷产品，支持新型农业经营主体参与农业产业项目建设，带动小农户融入现代农业发展体系。</w:t>
      </w:r>
    </w:p>
    <w:p w14:paraId="2FF2371D">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70" w:name="_Toc1604583380"/>
      <w:bookmarkStart w:id="571" w:name="_Toc2013891750"/>
      <w:bookmarkStart w:id="572" w:name="_Toc28345"/>
      <w:bookmarkStart w:id="573" w:name="_Toc7773"/>
      <w:bookmarkStart w:id="574" w:name="_Toc22919"/>
      <w:bookmarkStart w:id="575" w:name="_Toc1874594164"/>
      <w:bookmarkStart w:id="576" w:name="_Toc22725"/>
      <w:bookmarkStart w:id="577" w:name="_Toc171995201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fldChar w:fldCharType="begin"/>
      </w:r>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instrText xml:space="preserve"> HYPERLINK \l _Toc26436 </w:instrText>
      </w:r>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fldChar w:fldCharType="separate"/>
      </w:r>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激活县域经济活力</w:t>
      </w:r>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fldChar w:fldCharType="end"/>
      </w:r>
      <w:bookmarkEnd w:id="570"/>
      <w:bookmarkEnd w:id="571"/>
      <w:bookmarkEnd w:id="572"/>
      <w:bookmarkEnd w:id="573"/>
      <w:bookmarkEnd w:id="574"/>
      <w:bookmarkEnd w:id="575"/>
      <w:bookmarkEnd w:id="576"/>
      <w:bookmarkEnd w:id="577"/>
    </w:p>
    <w:p w14:paraId="1B85EFD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坚持“一县一主业”规划导向，推动差异化发展、集群化突破。坚持工农商旅并举，推动县域经济实力与质量效益整体跃升。</w:t>
      </w:r>
    </w:p>
    <w:p w14:paraId="6EEB395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推动县域差异化特色化发展</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。坚持工农商旅并举，立足资源禀赋发展优势特色产业，推动县域差异化发展，持续打造更多经济强县（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）和经济强镇、特色名镇。支持四会市打造千亿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级经济强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新能源汽车重要产业基地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；支持广宁县大力发展生态经济特色，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特色产业创新发展；支持德庆县加快提升县域经济综合实力，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进一步推进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城乡融合发展；支持封开县加强省际边界合作，加快提升城乡区域协调发展水平；</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支持怀集县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加力提速实施“百千万工程”，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县域经济高质量跃升。</w:t>
      </w:r>
    </w:p>
    <w:p w14:paraId="1305A90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壮大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主导产业。强化县域产业规划引导，壮大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首位产业和梯队产业，推动各县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分别打造1个百亿元级产业集群。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市要在产业振兴中挑起大梁，建设以先进制造业为骨干的现代化产业体系；广宁县做大竹产业、资源循环等产业；德庆县发展机电设备制造产业，探索打造“中国通用风机之都”，适时发展稀土资源型产业；封开县加快打造大湾区绿色建材产业基地、南方大豆特色产业园；怀集县全力打造“岭南蔬菜之乡”，发展现代农业和食品加工产业。</w:t>
      </w:r>
    </w:p>
    <w:p w14:paraId="3EEBDBB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强化县域要素保障支撑。优先保障县域特色产业用地，盘活县域闲置厂房、矿区、集体建设用地，用于发展乡村产业、配套服务设施。针对县域产业需求定向引才育才，依托东西部协作机制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，加强与帮扶地区涉农人才资源交流合作，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完善县域人才住房、子女教育等配套政策，吸引人才扎根县域。加大县域产业扶持力度，引导金融机构开发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竹产业贷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农产品物流贷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等特色信贷产品，降低县域企业融资成本。</w:t>
      </w:r>
    </w:p>
    <w:p w14:paraId="3E710128">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78" w:name="_Toc14499"/>
      <w:bookmarkStart w:id="579" w:name="_Toc1854960615"/>
      <w:bookmarkStart w:id="580" w:name="_Toc3850"/>
      <w:bookmarkStart w:id="581" w:name="_Toc1556896208"/>
      <w:bookmarkStart w:id="582" w:name="_Toc1998054462"/>
      <w:bookmarkStart w:id="583" w:name="_Toc25891"/>
      <w:bookmarkStart w:id="584" w:name="_Toc138501102"/>
      <w:bookmarkStart w:id="585" w:name="_Toc1747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建设现代化和美乡村</w:t>
      </w:r>
      <w:bookmarkEnd w:id="578"/>
      <w:bookmarkEnd w:id="579"/>
      <w:bookmarkEnd w:id="580"/>
      <w:bookmarkEnd w:id="581"/>
      <w:bookmarkEnd w:id="582"/>
      <w:bookmarkEnd w:id="583"/>
      <w:bookmarkEnd w:id="584"/>
      <w:bookmarkEnd w:id="585"/>
    </w:p>
    <w:p w14:paraId="494FB2CE">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以美学思维为引领，统筹推进村容风貌提升、基础设施完善、公共服务优化与乡风文明建设，激活“美丽经济”动能，加快建设彰显岭南风韵、肇庆特色的宜居宜业和美乡村。</w:t>
      </w:r>
    </w:p>
    <w:p w14:paraId="07F90502">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提升村容村貌整体品质。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深化农村人居环境提升“示范突破”行动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，引导控制好增量建筑风貌。加力推进典型镇、典型村培育，巩固拓展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行动成果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继续推进农房微改造和口袋公园建设，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着力提升镇村绿化质量，</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加快重点交通主干道沿线风貌改造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，推动农村人居环境由“净化”向“美化”转变</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推动镇村片区化组团发展，重点</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培育端州区星湖雅集城乡镇村片区组团、鼎湖区西江两岸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水韵渔乡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镇村片区组团、西江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悦禄小双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（高要）镇村片区组团、四会市北部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玉美山乡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镇村片区组团、广宁县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绿之韵</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竹海镇村片区组团、西江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悦禄小双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（德庆）镇村片区组团、封开县贺江南段</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几字湾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镇村片区组团、怀集县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稻乡燕岩峰林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镇村片区组团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镇村片区组团。</w:t>
      </w:r>
    </w:p>
    <w:p w14:paraId="6561052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完善乡村基础设施网络。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推动水路电气讯加快进村入户，</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持续抓好农村厕所、垃圾、污水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三大革命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超2000公里“四好农村路”建设，推进城乡路网衔接融合，优化农村公路路网结构，重点升级改造通村主干道、产业路、旅游路，完善道路安全防护设施，保障农产品运输与村民出行畅通。推进农村水系综合整治，</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农田水利设施建设，推进高标准农田配套灌溉设施升级，提升农业抗灾减灾与灌溉保障能力。优化乡村能源供给，推动太阳能路灯、分布式光伏等清洁能源在乡村应用，完善农村电网改造升级。健全乡村通信网络，搭建乡村数字服务平台，支撑农村电商、远程服务等数字乡村应用场景落地。</w:t>
      </w:r>
    </w:p>
    <w:p w14:paraId="2A60D63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优化乡村公共服务供给。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推动城乡公共服务制度衔接，推进城乡社保关系顺畅转移接续，逐步缩小城乡公共服务差距。</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推动城乡教育资源均衡配置，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改善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和提升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中小学、幼儿园办学条件，鼓励优秀教师下沉乡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任教，提升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教育教学质量。健全乡村医疗卫生服务体系，强化乡镇卫生院、村卫生室标准化建设，配齐基础医疗设备与药品，加强基层医务人员培训，提升常见病、慢性病诊疗能力。完善乡村养老服务供给，依托村级综合服务设施建设养老服务站点，推动农村互助养老模式发展，保障农村老年人基本养老需求。丰富乡村文化体育服务，定期组织开展民俗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活动，满足村民精神文化需求。优化乡村便民服务，推行社保、医保、涉农补贴等业务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一站式</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办理。</w:t>
      </w:r>
    </w:p>
    <w:p w14:paraId="5F60A0E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加强乡村精神文明与乡风文明建设。推进文明村镇、文明家庭等创建活动。培育</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文化，搭建乡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议事、返乡创业平台，引导</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乡亲</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参与乡村规划、公益事业、产业发展，凝聚乡村发展合力。修订完善村规民约，将移风易俗、环境保护、邻里互助等内容纳入其中，发挥村民议事会、红白理事会等自治组织作用，整治陈规陋习。传承保护乡村传统文化，修缮保护古村落、古民居、古建筑，支持传统手工艺传承发展，推动优秀传统文化与现代乡村生活融合。</w:t>
      </w:r>
    </w:p>
    <w:p w14:paraId="33F38309">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586" w:name="_Toc1183555717"/>
      <w:bookmarkStart w:id="587" w:name="_Toc2094047111"/>
      <w:bookmarkStart w:id="588" w:name="_Toc1391376631"/>
      <w:bookmarkStart w:id="589" w:name="_Toc32229"/>
      <w:bookmarkStart w:id="590" w:name="_Toc1891"/>
      <w:bookmarkStart w:id="591" w:name="_Toc686008593"/>
      <w:bookmarkStart w:id="592" w:name="_Toc7623"/>
      <w:bookmarkStart w:id="593" w:name="_Toc754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完善城乡融合体制机制</w:t>
      </w:r>
      <w:bookmarkEnd w:id="586"/>
      <w:bookmarkEnd w:id="587"/>
      <w:bookmarkEnd w:id="588"/>
      <w:bookmarkEnd w:id="589"/>
      <w:bookmarkEnd w:id="590"/>
      <w:bookmarkEnd w:id="591"/>
      <w:bookmarkEnd w:id="592"/>
      <w:bookmarkEnd w:id="593"/>
    </w:p>
    <w:p w14:paraId="4CA74F5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以改革创新为根本动力，统筹推进关键领域制度突破，促进城乡资源要素双向流动、优化配置。</w:t>
      </w:r>
    </w:p>
    <w:p w14:paraId="4D523C1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巩固完善农村基本经营制度。有序推进第二轮土地承包到期后再延长30年试点，稳定农村土地承包关系，保障进城落户农民合法土地权益；规范宅基地审批管理，打造市、县、镇三级互联互通的宅基地管理体系，有序推进高要区、广宁县住宅类房屋专项整治第二步试点工作。</w:t>
      </w:r>
    </w:p>
    <w:p w14:paraId="77513E86">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农村集体产权制度改革。加强农村集体“三资”监管，巩固农村集体“三资”管理改革和专项整治成果，健全农村集体资产监督管理服务体系，充分发挥农村集体“三资”交易平台在提升溢价、防范廉政风险方面的实效作用，实现农村集体资产监管数字化。</w:t>
      </w:r>
      <w:r>
        <w:rPr>
          <w:rFonts w:hint="eastAsia" w:ascii="Times New Roman" w:hAnsi="Times New Roman" w:eastAsia="方正仿宋_GBK" w:cs="Times New Roman Regular"/>
          <w:snapToGrid/>
          <w:color w:val="000000" w:themeColor="text1"/>
          <w:kern w:val="21"/>
          <w:sz w:val="32"/>
          <w:szCs w:val="32"/>
          <w:lang w:eastAsia="zh-CN" w:bidi="ar"/>
          <w14:textFill>
            <w14:solidFill>
              <w14:schemeClr w14:val="tx1"/>
            </w14:solidFill>
          </w14:textFill>
        </w:rPr>
        <w:t>鼓励支持盘活农村资源，发展新型农村集体经济，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发利用闲置厂房、校舍、林地、水域等资产，结合南药种植、乡村旅游、农产品加工等特色产业，培育集体经营性项目，拓宽集体经济增收渠道。健全农村集体资产收益分配机制，明确收益分配程序，保障成员分红权益，推动集体收益向居民收入、民生保障、设施建设等领域倾斜。</w:t>
      </w:r>
    </w:p>
    <w:p w14:paraId="41543B63">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乡村治理工作机制。构建“13331”党建引领乡村治理体系。完善村民自治机制，健全村民参与乡村规划、公共事务决策的制度渠道，提升村民自治效能。推进乡村法治建设，加强农村法治宣传教育，充分发挥村（居）法律顾问作用，完善农村矛盾纠纷多元化解体系。</w:t>
      </w:r>
    </w:p>
    <w:p w14:paraId="59AB0FF4">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发动汇聚社会帮扶力量。坚持党建引领、政企协同、社会参与，全方位发动汇聚各类社会帮扶力量，办好“630”助力乡村振兴活动，为“百千万工程”加力提速注入强劲动能。重点引导建筑业央企、本土骨干企业深度参与典型镇建设、美丽圩镇打造等重点工作，持续放大企业帮扶实效。充分发挥工会、共青团、妇联等群团组织桥梁纽带作用，动员广大职工、青年、妇女组建志愿服务队伍，在技能培训、文旅推广、民生服务等方面开展常态化帮扶。健全“政府引导、社会参与、共建共享”长效机制，统筹整合商会协会、乡亲群体等资源，推动帮扶力量向产业造血、公共服务提质、内生动力培育等关键领域聚焦，助力全市县镇村功能品质跃升。</w:t>
      </w:r>
    </w:p>
    <w:tbl>
      <w:tblPr>
        <w:tblStyle w:val="23"/>
        <w:tblpPr w:leftFromText="180" w:rightFromText="180" w:vertAnchor="text" w:horzAnchor="page" w:tblpXSpec="center" w:tblpY="292"/>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4255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9071" w:type="dxa"/>
            <w:vAlign w:val="center"/>
          </w:tcPr>
          <w:p w14:paraId="3ACCF6E7">
            <w:pPr>
              <w:widowControl w:val="0"/>
              <w:kinsoku/>
              <w:overflowPunct w:val="0"/>
              <w:autoSpaceDE/>
              <w:autoSpaceDN/>
              <w:adjustRightInd/>
              <w:snapToGrid/>
              <w:spacing w:line="500" w:lineRule="exact"/>
              <w:jc w:val="cente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1</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2</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“十五五”时期肇庆市“</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百县千镇万村高质量发展</w:t>
            </w:r>
          </w:p>
          <w:p w14:paraId="251A8C27">
            <w:pPr>
              <w:widowControl w:val="0"/>
              <w:kinsoku/>
              <w:overflowPunct w:val="0"/>
              <w:autoSpaceDE/>
              <w:autoSpaceDN/>
              <w:adjustRightInd/>
              <w:snapToGrid/>
              <w:spacing w:line="500" w:lineRule="exact"/>
              <w:jc w:val="center"/>
              <w:rPr>
                <w:rFonts w:ascii="Times New Roman" w:hAnsi="Times New Roman" w:eastAsia="方正小标宋简体"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工程</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重点任务</w:t>
            </w:r>
          </w:p>
        </w:tc>
      </w:tr>
      <w:tr w14:paraId="313AB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1" w:type="dxa"/>
          </w:tcPr>
          <w:p w14:paraId="5A409621">
            <w:pPr>
              <w:widowControl w:val="0"/>
              <w:kinsoku/>
              <w:overflowPunct w:val="0"/>
              <w:autoSpaceDE/>
              <w:autoSpaceDN/>
              <w:adjustRightInd/>
              <w:snapToGrid/>
              <w:spacing w:line="39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一、现代农业产业体系建设重点</w:t>
            </w:r>
          </w:p>
          <w:p w14:paraId="288D2557">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1.打造粤港澳大湾区生态粮仓</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支持怀集县国家杂交水稻制种基地，有序推进高标准农田项目建设、积极打造智慧无人农场。抓好“菜篮子”工程建设，加快建设粤港澳大湾区粮食应急保障中心（应急储备基地），保障大湾区农副产品稳定供应。</w:t>
            </w:r>
          </w:p>
          <w:p w14:paraId="611E53BB">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2.农业强市“成百上千”工程：德庆县国家农村产业融合发展示范园项目、德庆</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奶水牛智慧牧场项目、怀集县国家现代农业产业园。探索“补改投”方式发展现代农业产业、四会</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现代化特色食品产业园、封开县农副产品深加工基地项目、高要区国家现代农业产业园、肇庆市粤港澳大湾区（高要）预制菜产业园、高要区省级水禽“补改投”试点项目、怀集县畜禽加工“补改投”现代农业产业园项目。</w:t>
            </w:r>
          </w:p>
          <w:p w14:paraId="6551EDA9">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.农业科技创新</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：重点围绕智慧农业、生物育种、智能农机、绿色转型、产业融合等领域。</w:t>
            </w:r>
          </w:p>
          <w:p w14:paraId="4F0B6E49">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4.新型农业经营主体培育：扶持家庭农场、农民专业合作社，构建农业企业梯度培育体系。</w:t>
            </w:r>
          </w:p>
          <w:p w14:paraId="35C5923B">
            <w:pPr>
              <w:widowControl w:val="0"/>
              <w:kinsoku/>
              <w:overflowPunct w:val="0"/>
              <w:autoSpaceDE/>
              <w:autoSpaceDN/>
              <w:adjustRightInd/>
              <w:snapToGrid/>
              <w:spacing w:line="39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二、县域经济发展重点</w:t>
            </w:r>
          </w:p>
          <w:p w14:paraId="4E765810">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1.四会市</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加快建设以先进制造业为骨干的现代化产业体系。</w:t>
            </w:r>
          </w:p>
          <w:p w14:paraId="65801B2E">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2.广宁县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做大竹产业、资源循环等产业。</w:t>
            </w:r>
          </w:p>
          <w:p w14:paraId="2D403853">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3.德庆县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发展机电设备制造产业，探索打造“中国通用风机之都”，适时发展稀土资源型产业。</w:t>
            </w:r>
          </w:p>
          <w:p w14:paraId="4F98E7B5">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4.封开县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加快打造大湾区绿色建材产业基地、南方大豆特色产业园。</w:t>
            </w:r>
          </w:p>
          <w:p w14:paraId="5E857500">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5.怀</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集县</w:t>
            </w:r>
            <w:r>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全力打造“岭南蔬菜之乡”，发展现代农业和食品加工产业。</w:t>
            </w:r>
          </w:p>
          <w:p w14:paraId="69F65FE2">
            <w:pPr>
              <w:widowControl w:val="0"/>
              <w:kinsoku/>
              <w:overflowPunct w:val="0"/>
              <w:autoSpaceDE/>
              <w:autoSpaceDN/>
              <w:adjustRightInd/>
              <w:snapToGrid/>
              <w:spacing w:line="39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三、现代化和美乡村建设重点</w:t>
            </w:r>
          </w:p>
          <w:p w14:paraId="22E3E05E">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1.村容村貌品质提升：推动端州区“百千万”示范镇提升工程项目、端州区兰龙和美乡村示范项目、德庆县官马乡村精品示范带、德庆县龙母故里示范带、德庆县“五好两宜”和美乡村试点试验项目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怀集县和美乡村项目、封开</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贺江“几”字湾示范带、封开县盆地示范带、封开</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产业高地美丽乡村示范带等项目建设。</w:t>
            </w:r>
          </w:p>
          <w:p w14:paraId="09B712D4">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乡村基础设施网络建设：持续推进农村“问题厕所”改造提升、农村生活污水治理提升改造项目、农村生活垃圾分类处理、持续推进“四好农村路”建设、农村供水规模化工程、农村电网改造升级、优化乡村能源结构、强化乡村信息基础设施建设，加快肇庆市农村生活污水治理提升改造项目、怀集县农村生活污水治理设施提升与运维服务项目建设。</w:t>
            </w:r>
          </w:p>
          <w:p w14:paraId="6563C577">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乡村公共服务供给：推动城乡教育资源均衡配置，提升乡镇教育教学质量。健全乡村医疗卫生服务体系，强化乡镇卫生院、村卫生室标准化建设，加强基层医务人员培训。完善乡村养老服务供给，保障农村老年人基本养老需求。丰富乡村文化体育服务，满足村民精神文化需求。优化乡村便民服务。</w:t>
            </w:r>
          </w:p>
          <w:p w14:paraId="47C5EB37">
            <w:pPr>
              <w:widowControl w:val="0"/>
              <w:kinsoku/>
              <w:overflowPunct w:val="0"/>
              <w:autoSpaceDE/>
              <w:autoSpaceDN/>
              <w:adjustRightInd/>
              <w:snapToGrid/>
              <w:spacing w:line="39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四、农村体制机制改革重点领域</w:t>
            </w:r>
          </w:p>
          <w:p w14:paraId="7DCC24FB">
            <w:pPr>
              <w:widowControl w:val="0"/>
              <w:kinsoku/>
              <w:overflowPunct w:val="0"/>
              <w:autoSpaceDE/>
              <w:autoSpaceDN/>
              <w:adjustRightInd/>
              <w:snapToGrid/>
              <w:spacing w:line="39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农村土地制度改革：有序推进第二轮土地承包到期后再延长30年，稳定土地承包关系，保障进城落户农民土地承包经营权；规范宅基地审批管理，有序推进高要区、广宁县住宅类房屋专项整治第二步试点工作。</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 xml:space="preserve"> </w:t>
            </w:r>
          </w:p>
          <w:p w14:paraId="78B1BFF6">
            <w:pPr>
              <w:widowControl w:val="0"/>
              <w:kinsoku/>
              <w:overflowPunct w:val="0"/>
              <w:autoSpaceDE/>
              <w:autoSpaceDN/>
              <w:adjustRightInd/>
              <w:snapToGrid/>
              <w:spacing w:after="93" w:afterLines="30" w:line="39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2.农村集体产权制度改革：深入实施怀集县深化农村集体产权制度专项改革试点。</w:t>
            </w:r>
          </w:p>
        </w:tc>
      </w:tr>
    </w:tbl>
    <w:p w14:paraId="43C7E97D">
      <w:pPr>
        <w:widowControl w:val="0"/>
        <w:kinsoku/>
        <w:overflowPunct w:val="0"/>
        <w:autoSpaceDE/>
        <w:autoSpaceDN/>
        <w:adjustRightInd/>
        <w:snapToGrid/>
        <w:spacing w:line="4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bookmarkStart w:id="594" w:name="_Toc30850"/>
      <w:bookmarkStart w:id="595" w:name="_Toc29121"/>
      <w:bookmarkStart w:id="596" w:name="_Toc5810"/>
      <w:bookmarkStart w:id="597" w:name="_Toc2121794213"/>
      <w:bookmarkStart w:id="598" w:name="_Toc2085679596"/>
      <w:bookmarkStart w:id="599" w:name="_Toc14044"/>
      <w:bookmarkStart w:id="600" w:name="_Toc1906378770"/>
      <w:bookmarkStart w:id="601" w:name="_Toc1539981663"/>
    </w:p>
    <w:p w14:paraId="51EC9A8C">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fldChar w:fldCharType="begin"/>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instrText xml:space="preserve"> HYPERLINK \l _Toc31972 </w:instrTex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fldChar w:fldCharType="separate"/>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第十章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深化区域协调发展战略，构建优势互补</w:t>
      </w:r>
      <w:bookmarkEnd w:id="594"/>
      <w:bookmarkEnd w:id="595"/>
      <w:bookmarkEnd w:id="596"/>
      <w:bookmarkEnd w:id="597"/>
      <w:bookmarkEnd w:id="598"/>
      <w:bookmarkEnd w:id="599"/>
      <w:bookmarkStart w:id="602" w:name="_Toc406331819"/>
      <w:bookmarkStart w:id="603" w:name="_Toc14325"/>
      <w:bookmarkStart w:id="604" w:name="_Toc23221"/>
    </w:p>
    <w:p w14:paraId="37764FEE">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605" w:name="_Toc1310118551"/>
      <w:bookmarkStart w:id="606" w:name="_Toc8188"/>
      <w:bookmarkStart w:id="607" w:name="_Toc13496"/>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区域经济布局</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fldChar w:fldCharType="end"/>
      </w:r>
      <w:bookmarkEnd w:id="600"/>
      <w:bookmarkEnd w:id="601"/>
      <w:bookmarkEnd w:id="602"/>
      <w:bookmarkEnd w:id="603"/>
      <w:bookmarkEnd w:id="604"/>
      <w:bookmarkEnd w:id="605"/>
      <w:bookmarkEnd w:id="606"/>
      <w:bookmarkEnd w:id="607"/>
    </w:p>
    <w:p w14:paraId="34AEE0B4">
      <w:pPr>
        <w:widowControl w:val="0"/>
        <w:kinsoku/>
        <w:overflowPunct w:val="0"/>
        <w:autoSpaceDE/>
        <w:autoSpaceDN/>
        <w:adjustRightInd/>
        <w:snapToGrid/>
        <w:spacing w:line="57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bookmarkStart w:id="608" w:name="_Toc28342"/>
    </w:p>
    <w:p w14:paraId="2C569120">
      <w:pPr>
        <w:widowControl w:val="0"/>
        <w:kinsoku/>
        <w:overflowPunct w:val="0"/>
        <w:autoSpaceDE/>
        <w:autoSpaceDN/>
        <w:adjustRightInd/>
        <w:snapToGrid/>
        <w:spacing w:line="57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落实主体功能区战略，强化国土空间规划约束，</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推进东部城区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建设更大体量</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更高能级的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未来大城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为牵引，着力增强主城辐射带动能力和西部四县内生发展动力。</w:t>
      </w:r>
    </w:p>
    <w:p w14:paraId="3860888F">
      <w:pPr>
        <w:widowControl w:val="0"/>
        <w:numPr>
          <w:ilvl w:val="255"/>
          <w:numId w:val="0"/>
        </w:numPr>
        <w:kinsoku/>
        <w:overflowPunct w:val="0"/>
        <w:autoSpaceDE/>
        <w:autoSpaceDN/>
        <w:adjustRightInd/>
        <w:snapToGrid/>
        <w:spacing w:before="156" w:beforeLines="50" w:after="156" w:afterLines="50" w:line="57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09" w:name="_Toc7690"/>
      <w:bookmarkStart w:id="610" w:name="_Toc2085476613"/>
      <w:bookmarkStart w:id="611" w:name="_Toc9371"/>
      <w:bookmarkStart w:id="612" w:name="_Toc1823021264"/>
      <w:bookmarkStart w:id="613" w:name="_Toc259250471"/>
      <w:bookmarkStart w:id="614" w:name="_Toc17760"/>
      <w:bookmarkStart w:id="615" w:name="_Toc1031120986"/>
      <w:bookmarkStart w:id="616" w:name="_Toc1579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加强“东接西连”区域合作</w:t>
      </w:r>
      <w:bookmarkEnd w:id="609"/>
      <w:bookmarkEnd w:id="610"/>
      <w:bookmarkEnd w:id="611"/>
      <w:bookmarkEnd w:id="612"/>
      <w:bookmarkEnd w:id="613"/>
      <w:bookmarkEnd w:id="614"/>
      <w:bookmarkEnd w:id="615"/>
      <w:bookmarkEnd w:id="616"/>
    </w:p>
    <w:p w14:paraId="2EC22B41">
      <w:pPr>
        <w:widowControl w:val="0"/>
        <w:kinsoku/>
        <w:overflowPunct w:val="0"/>
        <w:autoSpaceDE/>
        <w:autoSpaceDN/>
        <w:adjustRightInd/>
        <w:snapToGrid/>
        <w:spacing w:line="57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深化跨区域协同合作，主动融入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黄金内湾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建设，积极参与珠三角深度一体化发展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大西南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地区交流合作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，促进资源要素优化配置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13E94387">
      <w:pPr>
        <w:widowControl w:val="0"/>
        <w:kinsoku/>
        <w:overflowPunct w:val="0"/>
        <w:autoSpaceDE/>
        <w:autoSpaceDN/>
        <w:adjustRightInd/>
        <w:snapToGrid/>
        <w:spacing w:line="57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向东深化融湾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入圈</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合作。加快推进广州都市圈同城化建设，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强化与中心城市的互动合作，</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努力打造大湾区城市协作发展典范。突出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佛（西）肇（东）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”一体化</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动中心城区扩容提质，统筹东部板块产城融合、站城融合，主动承接广佛优质资源要素外溢和非核心城市功能疏解。积极拓展与深圳都市圈合作，主动承接创新资源外溢与产业转移，强化科技创新协同与产业链供应链对接。加快对接珠江口西岸都市圈建设，深化与珠海、中山等城市产业协作，融入珠江口西岸先进制造产业带发展格局。</w:t>
      </w:r>
    </w:p>
    <w:p w14:paraId="136ACAE5">
      <w:pPr>
        <w:widowControl w:val="0"/>
        <w:kinsoku/>
        <w:overflowPunct w:val="0"/>
        <w:autoSpaceDE/>
        <w:autoSpaceDN/>
        <w:adjustRightInd/>
        <w:snapToGrid/>
        <w:spacing w:line="57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向西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连通大</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西南合作。以多领域协同联动为抓手，全面深化与大西南地区合作交流，拓展区域合作广度与深度。深化产业协同与园区共建，推动西江沿线园区产业链上下游精准对接，充分发挥粤桂合作特别试验区（肇庆）平台作用，探索共建跨区域产业园区；创新信息衔接、税收共享、统计分算等合作举措，激发区域共建共享强劲动能。推动要素资源合作共兴，探索建设跨省域数字经济合作平台，促进数字技术与数据资源双向赋能；引导大湾区优质人力资源向西南延伸，同时吸纳西南地区优质农产品、矿产原材料等特色资源集聚，实现要素优化配置。深化公共服务与文旅融合，强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省际睦邻廊道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建设，联合打造跨省域文旅精品线路，共建大西南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文化旅游圈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p>
    <w:p w14:paraId="18B8E7B9">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17" w:name="_Toc10204"/>
      <w:bookmarkStart w:id="618" w:name="_Toc14031"/>
      <w:bookmarkStart w:id="619" w:name="_Toc10031"/>
      <w:bookmarkStart w:id="620" w:name="_Toc1045544351"/>
      <w:bookmarkStart w:id="621" w:name="_Toc22039"/>
      <w:bookmarkStart w:id="622" w:name="_Toc2091480546"/>
      <w:bookmarkStart w:id="623" w:name="_Toc322438023"/>
      <w:bookmarkStart w:id="624" w:name="_Toc96068430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推进东部城区一体化融合发展</w:t>
      </w:r>
      <w:bookmarkEnd w:id="608"/>
      <w:bookmarkEnd w:id="617"/>
      <w:bookmarkEnd w:id="618"/>
      <w:bookmarkEnd w:id="619"/>
      <w:bookmarkEnd w:id="620"/>
      <w:bookmarkEnd w:id="621"/>
      <w:bookmarkEnd w:id="622"/>
      <w:bookmarkEnd w:id="623"/>
      <w:bookmarkEnd w:id="624"/>
    </w:p>
    <w:p w14:paraId="29F876B8">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聚焦“六个一体化”，加快产业、人口、公共服务的导入，推动优质要素向东部集成、项目向东部聚集，更好辐射带动西部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板块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w:t>
      </w:r>
    </w:p>
    <w:p w14:paraId="5D3FB7B5">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强化体制机制一体化统筹。强化东进战略系统集成，明确跨区域权责划分，对交通建设、产业布局等重大事项实行“统一规划、分工负责”，建立成本共担与利益共享机制。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优化整体营商环境与城市形象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不断提升城市魅力、产业活力与高质量发展动力。创新协同治理模式，组建东部城区发展智库，吸纳专家、企业代表参与规划编制与政策评估，开通公众意见征集平台，形成“政府主导、市场参与、社会协同”的一体化推进格局。</w:t>
      </w:r>
    </w:p>
    <w:p w14:paraId="2F4617D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一江两岸三组团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融合发展。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打造“一江两岸”高品质城区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高要区风貌规划衔接，优化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城市功能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配套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，共同提升城市能级与品质。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建设端州区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高要区组团，带动产业能级提升，协同完善消费中心功能。布局鼎湖区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肇庆新区组团，以公共服务共享、产业协同联动为抓手，打造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肇庆东部城区一体化融合发展的核心区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协同建设现代化产业新城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。布局四会市—肇庆高新区组团，聚焦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产业共建、城区相融</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，打造产城融合发展区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优化城区空间规划和功能布局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加快建设中央商务区，打造特色经济轴、景观轴、文化轴，塑造城市新格局。持续增强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东部城区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城市引力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加快人口集聚进程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158DC3C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推动紫云新城开发建设。强化规划引领与空间管控，高起点谋划推进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高要产业园（紫云片区）建设，向东联动肇庆金利高新区，对接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大湾区核心城市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产业资源；向西、向北连接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南岸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街道</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、端州城区，带动跨区联动的产城融合和职住平衡；向南依托</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广州新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机场发展临空经济，带动临空偏好型产业升级，争取区域性服务设施落户，构建产城融合发展新格局。打造新能源汽车产业区，聚焦轻量化车身、智能电驱、车规级传感器等前沿赛道导入一批关键项目。打造产城融合服务区，大力引进行业知名的零售、餐饮、酒店等商贸企业，完善居住、商业、教育、医疗、生活休闲等产业配套的生活服务功能，提升商业集聚度和消费活力，真正实现以产促城、以城兴产。</w:t>
      </w:r>
    </w:p>
    <w:p w14:paraId="732A629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强化产业集群共建。大力发展都市圈经济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，积极培育高端制造、总部经济、现代服务等高附加值产业。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联动端州区、鼎湖区（肇庆新区）、肇庆高新区发挥电子元器件产业优势，布局推进穿戴式设备、终端消费电子等领域；联动高要区、四会市、肇庆高新区探索金属材料汽车轻量化应用、废旧金属再生利用等绿色化、高端化发展；联动高要区、四会市共同推进精细化工园区建设，重点拓展化工新材料、电子材料等应用场景，探索化工新材料融入未来产业的结合点；加快提升东部城区先进制造业活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，建设深度嵌入大湾区现代化产业体系的先导区域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2E1CC74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推进基础设施互联互通。加快推进快速通道建设和路网优化，以东进大道为交通主骨架，以肇庆东站为交通枢纽，以大型产业集聚区为几何中心，推进东部城区快速通道连接。加快构建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东部大环线、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大型产业集聚区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四会城区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肇庆高新区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东部小环线，持续推动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港口大道、肇庆东站至东进大道、丰乐路接凤凰大道</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建设，加快肇庆高新区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政德大街与四会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金田大道交界瓶颈路改造建设，形成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8</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字形东部城区交通骨架，实现东部城区区域间快速连通。提升与西部板块交通互联互通水平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健全交通接驳设施，实现多种交通方式便捷换乘。</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增加东部管网</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交通的跨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区域</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统筹协调内容</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推动跨区域城市管网互联互通，提升基础设施保障能力。</w:t>
      </w:r>
    </w:p>
    <w:p w14:paraId="35ECB57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现公共服务同城同质。推动优质教育资源均衡布局，坚持因地制宜、循序渐进，深入推进集团化办学，推动市直和端州区优质中小学校托管帮扶其他区（市）学校，积极引入市外优质教育资源托管帮扶肇庆学校。在高要区紫云新城、肇庆新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大型产业集聚区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高新区适度超前布局新建优质中小学。推进东部城区医疗机构提质增效，尽快实现东部城区三级医院全覆盖。支持东部城区医疗单位开展共建，推动病历、医学检查检验结果跨地区、跨机构共享互认。深入推进城区医联体和紧密型县域</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医疗卫生共同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体建设，推动更多省内优质医疗机构托管或帮扶东部城</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区医院。共同提升民生保障水平，推动东部城区人力资源供给与需求有效衔接，共同促进高质量充分就业。大力发展文化事业、文化产业，推进东部城区博物馆、图书馆、体育场馆等资源互通共享。</w:t>
      </w:r>
      <w:bookmarkStart w:id="625" w:name="_Toc28768"/>
      <w:bookmarkStart w:id="626" w:name="_Toc12806"/>
      <w:bookmarkStart w:id="627" w:name="_Toc19457"/>
    </w:p>
    <w:p w14:paraId="415CEE5C">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28" w:name="_Toc11687"/>
      <w:bookmarkStart w:id="629" w:name="_Toc9500"/>
      <w:bookmarkStart w:id="630" w:name="_Toc6136"/>
      <w:bookmarkStart w:id="631" w:name="_Toc850966259"/>
      <w:bookmarkStart w:id="632" w:name="_Toc953707774"/>
      <w:bookmarkStart w:id="633" w:name="_Toc1089978555"/>
      <w:bookmarkStart w:id="634" w:name="_Toc148328854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第三节  </w:t>
      </w:r>
      <w:bookmarkEnd w:id="62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稳步推进以县城为重要载体的城镇化建设</w:t>
      </w:r>
      <w:bookmarkEnd w:id="626"/>
      <w:bookmarkEnd w:id="627"/>
      <w:bookmarkEnd w:id="628"/>
      <w:bookmarkEnd w:id="629"/>
      <w:bookmarkEnd w:id="630"/>
      <w:bookmarkEnd w:id="631"/>
      <w:bookmarkEnd w:id="632"/>
      <w:bookmarkEnd w:id="633"/>
      <w:bookmarkEnd w:id="634"/>
    </w:p>
    <w:p w14:paraId="6DD0AC8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以县城规划设计为引领，稳步推进县城扩容提质与功能提升，增强县城联城带村能力。加快人口集聚，提升县城住房、教育、医疗、商贸等公共服务水平，提高县域生产生活便利性。</w:t>
      </w:r>
    </w:p>
    <w:p w14:paraId="2E5EA88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优化县域城镇空间格局。优化县镇村功能配置，构建以县城为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核心</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，中心镇、中心村合理布局的县域城镇空间格局。</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推进高要区国家新型城镇化潜力县域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“加快产业导入”</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试点，加快推动以县城为重要载体的城镇化建设提质增效行动。提升四会市、怀集县市域副中心发展能级，加快推动广宁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绥江生态新城、德庆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产业新城片区、封开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两江三岸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片区、怀集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县怀集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新城片区等扩容提质项目。全面提升镇域联城带村节点功能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推动高要区金利镇开展小城市试点培育工作，推进鼎湖区永安镇、高要区金渡镇、四会市大沙镇、广宁县宾亨镇、德庆县悦城镇、封开县南丰镇、怀集县冷坑镇等中心镇开展现代化建设，加快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高要区金利镇、四会市大沙镇、怀集县下帅乡、鼎湖区沙浦镇“两工两农”</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示范</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着力打造一批工业镇、农业特色镇、商贸现代镇、文旅特色镇等。因地制宜推进人口小镇及空心村撤并。</w:t>
      </w:r>
    </w:p>
    <w:p w14:paraId="1CE949C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完善县域基础设施网络。完善交通基础设施，强化县域与大湾区核心城市、邻市及县域间的联通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支持有需要的县城开通与周边城市的城际公交，开展短途客运班线公交化改造。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加强县城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水利</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基础设施建设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，加强怀集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等地城市洪涝治理，加强雨水管网和泵站建设改造，开展排涝通道系统整治，稳妥推进雨污分流改造。加快信息基础设施建设，实现县城和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重点</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镇5G网络全覆盖，引导有条件的县城适度超前储备网络能力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4133188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公共服务供给</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人口向县城集聚，推进就地就近城镇化，全力做大做强县城。完善医疗卫生体系，推进县级医院（含中医院）提标改造，加强急救、传染病检测和诊治、可转换传染病区和重症加强护理病房等建设，重点提升急危重症患者抢救能力和突发公共卫生事件应急处置能力。推动县级医院夯实创建三甲医院的前置条件。深入实施县中振兴计划，以学位紧缺地区为重点，新增一批县中优质学位。丰富宜居设施，完善县城商业综合体、便民商圈等设施；加强公园绿地建设，推进体育场馆、健身步道等体育设施布局。提升县城社会服务保障能力，增进县城民生福祉。</w:t>
      </w:r>
    </w:p>
    <w:p w14:paraId="044B43AF">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35" w:name="_Toc2096465658"/>
      <w:bookmarkStart w:id="636" w:name="_Toc1758203993"/>
      <w:bookmarkStart w:id="637" w:name="_Toc25914"/>
      <w:bookmarkStart w:id="638" w:name="_Toc27695"/>
      <w:bookmarkStart w:id="639" w:name="_Toc257307000"/>
      <w:bookmarkStart w:id="640" w:name="_Toc1402126263"/>
      <w:bookmarkStart w:id="641" w:name="_Toc13118"/>
      <w:bookmarkStart w:id="642" w:name="_Toc135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健全区域协调发展机制</w:t>
      </w:r>
      <w:bookmarkEnd w:id="635"/>
      <w:bookmarkEnd w:id="636"/>
      <w:bookmarkEnd w:id="637"/>
      <w:bookmarkEnd w:id="638"/>
      <w:bookmarkEnd w:id="639"/>
      <w:bookmarkEnd w:id="640"/>
      <w:bookmarkEnd w:id="641"/>
      <w:bookmarkEnd w:id="642"/>
    </w:p>
    <w:p w14:paraId="7EC7F06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以机制创新破解区域发展不平衡问题，统筹推进市域协调、市内县域互助、省际协同联动，促进资源要素高效配置与区域优势互补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56E1036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健全区域发展统筹协调机制。统筹市域与县域经济协调发展，逐步拓展城市框架，集聚人口和生产要素，增强中心城区城市功能，完善市带县体制机制，提高县域经济发展水平。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促进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城乡协调发展，持续缩小城乡居民生活水平差距。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支持革命老区、民族地区振兴发展。</w:t>
      </w:r>
    </w:p>
    <w:p w14:paraId="158D4C4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县域互助合作机制。重点聚焦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1+2+3+4</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Style w:val="29"/>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footnoteReference w:id="4"/>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模式开展对口帮扶协作，推动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封开县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怀集县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广宁县、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德庆县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一对一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帮扶协作联动发展，促进结对帮扶双方优势互补、互惠互利、共谋发展，增强结对帮扶县域发展内生动力。探索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东部企业+西部资源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等协作模式，促进产业互补发展，加强产业园区共建，引导资金、技术、人才向园区集中。</w:t>
      </w:r>
    </w:p>
    <w:p w14:paraId="0ED8910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Times New Roman Regular"/>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探索省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合作发展机制。</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落实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粤桂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深化协作的部署要求，在交通互联、产业共兴、科技协同、环境共治、民生共享、文旅融合、社会治理事务等重点领域加强合作交流，构建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肇庆与梧州</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贺</w:t>
      </w:r>
      <w:r>
        <w:rPr>
          <w:rFonts w:hint="eastAsia"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州</w:t>
      </w:r>
      <w:r>
        <w:rPr>
          <w:rFonts w:ascii="Times New Roman" w:hAnsi="Times New Roman" w:eastAsia="方正仿宋_GBK" w:cs="Times New Roman Regular"/>
          <w:snapToGrid/>
          <w:color w:val="000000" w:themeColor="text1"/>
          <w:spacing w:val="6"/>
          <w:kern w:val="21"/>
          <w:sz w:val="32"/>
          <w:szCs w:val="32"/>
          <w:lang w:eastAsia="zh-Hans"/>
          <w14:textFill>
            <w14:solidFill>
              <w14:schemeClr w14:val="tx1"/>
            </w14:solidFill>
          </w14:textFill>
        </w:rPr>
        <w:t>等城市社会信用体系建设合作机制。</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深化跨区域对口合作</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深化与黑龙江</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省</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鸡西市对口合作，立足南北资源禀赋差异，打造</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农产品供应链贯通、文旅融合联动、县域协作互促</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的合作模式。</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7C6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071" w:type="dxa"/>
            <w:vAlign w:val="center"/>
          </w:tcPr>
          <w:p w14:paraId="7DEC8D00">
            <w:pPr>
              <w:pStyle w:val="2"/>
              <w:widowControl w:val="0"/>
              <w:kinsoku/>
              <w:overflowPunct w:val="0"/>
              <w:autoSpaceDE/>
              <w:autoSpaceDN/>
              <w:adjustRightInd/>
              <w:snapToGrid/>
              <w:spacing w:beforeAutospacing="0" w:afterAutospacing="0" w:line="500" w:lineRule="exact"/>
              <w:jc w:val="center"/>
              <w:rPr>
                <w:rFonts w:hint="default" w:ascii="Times New Roman" w:hAnsi="Times New Roman" w:eastAsia="方正小标宋简体"/>
                <w:b w:val="0"/>
                <w:snapToGrid/>
                <w:color w:val="000000" w:themeColor="text1"/>
                <w:kern w:val="21"/>
                <w14:textFill>
                  <w14:solidFill>
                    <w14:schemeClr w14:val="tx1"/>
                  </w14:solidFill>
                </w14:textFill>
              </w:rPr>
            </w:pPr>
            <w:r>
              <w:rPr>
                <w:rFonts w:hint="default" w:ascii="Times New Roman" w:hAnsi="Times New Roman" w:eastAsia="方正小标宋简体"/>
                <w:b w:val="0"/>
                <w:snapToGrid/>
                <w:color w:val="000000" w:themeColor="text1"/>
                <w:kern w:val="21"/>
                <w:sz w:val="32"/>
                <w:szCs w:val="32"/>
                <w14:textFill>
                  <w14:solidFill>
                    <w14:schemeClr w14:val="tx1"/>
                  </w14:solidFill>
                </w14:textFill>
              </w:rPr>
              <w:t>专</w:t>
            </w:r>
            <w:r>
              <w:rPr>
                <w:rFonts w:hint="default" w:ascii="Times New Roman" w:hAnsi="Times New Roman" w:eastAsia="方正小标宋简体"/>
                <w:b w:val="0"/>
                <w:snapToGrid/>
                <w:color w:val="000000" w:themeColor="text1"/>
                <w:spacing w:val="-6"/>
                <w:kern w:val="21"/>
                <w:sz w:val="32"/>
                <w:szCs w:val="32"/>
                <w14:textFill>
                  <w14:solidFill>
                    <w14:schemeClr w14:val="tx1"/>
                  </w14:solidFill>
                </w14:textFill>
              </w:rPr>
              <w:t>栏</w:t>
            </w:r>
            <w:r>
              <w:rPr>
                <w:rFonts w:ascii="Times New Roman" w:hAnsi="Times New Roman" w:eastAsia="方正小标宋简体"/>
                <w:b w:val="0"/>
                <w:snapToGrid/>
                <w:color w:val="000000" w:themeColor="text1"/>
                <w:spacing w:val="-6"/>
                <w:kern w:val="21"/>
                <w:sz w:val="32"/>
                <w:szCs w:val="32"/>
                <w14:textFill>
                  <w14:solidFill>
                    <w14:schemeClr w14:val="tx1"/>
                  </w14:solidFill>
                </w14:textFill>
              </w:rPr>
              <w:t>13</w:t>
            </w:r>
            <w:r>
              <w:rPr>
                <w:rFonts w:hint="default" w:ascii="Times New Roman" w:hAnsi="Times New Roman" w:eastAsia="方正小标宋简体"/>
                <w:b w:val="0"/>
                <w:snapToGrid/>
                <w:color w:val="000000" w:themeColor="text1"/>
                <w:spacing w:val="-6"/>
                <w:kern w:val="21"/>
                <w:sz w:val="32"/>
                <w:szCs w:val="32"/>
                <w14:textFill>
                  <w14:solidFill>
                    <w14:schemeClr w14:val="tx1"/>
                  </w14:solidFill>
                </w14:textFill>
              </w:rPr>
              <w:t>：</w:t>
            </w:r>
            <w:r>
              <w:rPr>
                <w:rFonts w:ascii="Times New Roman" w:hAnsi="Times New Roman" w:eastAsia="方正小标宋简体"/>
                <w:b w:val="0"/>
                <w:snapToGrid/>
                <w:color w:val="000000" w:themeColor="text1"/>
                <w:spacing w:val="-6"/>
                <w:kern w:val="21"/>
                <w:sz w:val="32"/>
                <w:szCs w:val="32"/>
                <w14:textFill>
                  <w14:solidFill>
                    <w14:schemeClr w14:val="tx1"/>
                  </w14:solidFill>
                </w14:textFill>
              </w:rPr>
              <w:t>“</w:t>
            </w:r>
            <w:r>
              <w:rPr>
                <w:rFonts w:hint="default" w:ascii="Times New Roman" w:hAnsi="Times New Roman" w:eastAsia="方正小标宋简体"/>
                <w:b w:val="0"/>
                <w:snapToGrid/>
                <w:color w:val="000000" w:themeColor="text1"/>
                <w:spacing w:val="-6"/>
                <w:kern w:val="21"/>
                <w:sz w:val="32"/>
                <w:szCs w:val="32"/>
                <w14:textFill>
                  <w14:solidFill>
                    <w14:schemeClr w14:val="tx1"/>
                  </w14:solidFill>
                </w14:textFill>
              </w:rPr>
              <w:t>十五五</w:t>
            </w:r>
            <w:r>
              <w:rPr>
                <w:rFonts w:ascii="Times New Roman" w:hAnsi="Times New Roman" w:eastAsia="方正小标宋简体"/>
                <w:b w:val="0"/>
                <w:snapToGrid/>
                <w:color w:val="000000" w:themeColor="text1"/>
                <w:spacing w:val="-6"/>
                <w:kern w:val="21"/>
                <w:sz w:val="32"/>
                <w:szCs w:val="32"/>
                <w14:textFill>
                  <w14:solidFill>
                    <w14:schemeClr w14:val="tx1"/>
                  </w14:solidFill>
                </w14:textFill>
              </w:rPr>
              <w:t>”</w:t>
            </w:r>
            <w:r>
              <w:rPr>
                <w:rFonts w:hint="default" w:ascii="Times New Roman" w:hAnsi="Times New Roman" w:eastAsia="方正小标宋简体"/>
                <w:b w:val="0"/>
                <w:snapToGrid/>
                <w:color w:val="000000" w:themeColor="text1"/>
                <w:spacing w:val="-6"/>
                <w:kern w:val="21"/>
                <w:sz w:val="32"/>
                <w:szCs w:val="32"/>
                <w14:textFill>
                  <w14:solidFill>
                    <w14:schemeClr w14:val="tx1"/>
                  </w14:solidFill>
                </w14:textFill>
              </w:rPr>
              <w:t>时期肇庆市</w:t>
            </w:r>
            <w:r>
              <w:rPr>
                <w:rFonts w:ascii="Times New Roman" w:hAnsi="Times New Roman" w:eastAsia="方正小标宋简体"/>
                <w:b w:val="0"/>
                <w:snapToGrid/>
                <w:color w:val="000000" w:themeColor="text1"/>
                <w:spacing w:val="-6"/>
                <w:kern w:val="21"/>
                <w:sz w:val="32"/>
                <w:szCs w:val="32"/>
                <w14:textFill>
                  <w14:solidFill>
                    <w14:schemeClr w14:val="tx1"/>
                  </w14:solidFill>
                </w14:textFill>
              </w:rPr>
              <w:t>各县（市</w:t>
            </w:r>
            <w:r>
              <w:rPr>
                <w:rFonts w:hint="default" w:ascii="Times New Roman" w:hAnsi="Times New Roman" w:eastAsia="方正小标宋简体"/>
                <w:b w:val="0"/>
                <w:snapToGrid/>
                <w:color w:val="000000" w:themeColor="text1"/>
                <w:spacing w:val="-6"/>
                <w:kern w:val="21"/>
                <w:sz w:val="32"/>
                <w:szCs w:val="32"/>
                <w14:textFill>
                  <w14:solidFill>
                    <w14:schemeClr w14:val="tx1"/>
                  </w14:solidFill>
                </w14:textFill>
              </w:rPr>
              <w:t>、区</w:t>
            </w:r>
            <w:r>
              <w:rPr>
                <w:rFonts w:ascii="Times New Roman" w:hAnsi="Times New Roman" w:eastAsia="方正小标宋简体"/>
                <w:b w:val="0"/>
                <w:snapToGrid/>
                <w:color w:val="000000" w:themeColor="text1"/>
                <w:spacing w:val="-6"/>
                <w:kern w:val="21"/>
                <w:sz w:val="32"/>
                <w:szCs w:val="32"/>
                <w14:textFill>
                  <w14:solidFill>
                    <w14:schemeClr w14:val="tx1"/>
                  </w14:solidFill>
                </w14:textFill>
              </w:rPr>
              <w:t>）发展重点与目标</w:t>
            </w:r>
          </w:p>
        </w:tc>
      </w:tr>
      <w:tr w14:paraId="48F5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71" w:type="dxa"/>
          </w:tcPr>
          <w:p w14:paraId="46E82ADB">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一、端州区：全面增强产业、商贸、文旅、民生事业“四个新活力”，推动端州内涵式高质量发展、持续焕发岭南名城新光彩，加快建设富有魅力和引领力的高品质首善区。到“十五五”期末，地区生产总值争取突破600亿元。</w:t>
            </w:r>
          </w:p>
          <w:p w14:paraId="3795EF80">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二、鼎湖区：全力建设具有鼎湖特色的现代化产业新城，勇当肇庆东部城区一体化融合发展的核心区，争做肇庆加快打造珠三角新增长极的主力军，再造一个更富活力、更具实力、更具影响力的新鼎湖。到“十五五”期末，地区生产总值争取突破250亿元，常住人口城镇化率提升到78%。</w:t>
            </w:r>
          </w:p>
          <w:p w14:paraId="1A1A8473">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三、高要区：努力当好肇庆推进新型工业化主力军、现代化建设领头羊、高质量发展示范区。到 “十五五”期末，地区生产总值争取突破760亿元</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常住人口城镇化率提升到</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50</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1C8380CE">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四、四会市：打造肇庆东部城区一体化发展核心纽带、新型工业化主力军、市域副中心城市和县域产城融合标杆。到“十五五”期末，全面建成千亿级综合实力强县，全域（含大旺街道）地区生产总值争取突破千亿元，全域（含大旺街道）常住人口城镇化率提升到75%。</w:t>
            </w:r>
          </w:p>
          <w:p w14:paraId="0E8D717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五、广宁县：争当</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践行“绿水青山就是金山银山”理念示范区，在山区县高质量发展走在前，率先崛起、绿色崛起。到“十五五”期末，地区生产总值争取突破300亿元，常住人口城镇化率提升到50%。</w:t>
            </w:r>
          </w:p>
          <w:p w14:paraId="4A2585B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六、德庆县：以科技创新引领特色化现代</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化</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产业体系建设，以新担当新作为加快打造</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县域经济发展新标兵、城乡融合发展示范县。到“十五五”期末，地区生产总值争取突破240亿元，常住人口城镇化率提升到40%。</w:t>
            </w:r>
          </w:p>
          <w:p w14:paraId="35753BA1">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七、封开县：加快建设西江流域高质量发展示范县，打造省际城乡区域协调发展新典范。到“十五五”期末，力争地区生产总值超260亿元，常住人口城镇化率提升至38%。</w:t>
            </w:r>
          </w:p>
          <w:p w14:paraId="0611A885">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八、怀集县：打造大湾区“县域经济高质量跃升”样板</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力争地区生产总值年均增速保持在合理区间，到“十五五”期末，地区生产总值争取突破430亿元，常住人口城镇化率提升到38%。</w:t>
            </w:r>
          </w:p>
          <w:p w14:paraId="23517DEC">
            <w:pPr>
              <w:widowControl w:val="0"/>
              <w:kinsoku/>
              <w:overflowPunct w:val="0"/>
              <w:autoSpaceDE/>
              <w:autoSpaceDN/>
              <w:adjustRightInd/>
              <w:snapToGrid/>
              <w:spacing w:line="40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九、肇庆高新区：打造粤港澳大湾区先进产业集聚高地、具有影响力的供应链服务</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地区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、科技产业融合发展区、产城融合标杆地区。到“十五五”期末，地区生产总值力争达到350亿元。</w:t>
            </w:r>
          </w:p>
        </w:tc>
      </w:tr>
    </w:tbl>
    <w:p w14:paraId="06C076D8">
      <w:pPr>
        <w:pStyle w:val="8"/>
        <w:widowControl w:val="0"/>
        <w:kinsoku/>
        <w:overflowPunct w:val="0"/>
        <w:autoSpaceDE/>
        <w:autoSpaceDN/>
        <w:snapToGrid/>
        <w:spacing w:after="0" w:line="400" w:lineRule="exact"/>
        <w:rPr>
          <w:rFonts w:ascii="Times New Roman" w:hAnsi="Times New Roman" w:eastAsia="方正仿宋_GBK"/>
          <w:snapToGrid/>
          <w:color w:val="000000" w:themeColor="text1"/>
          <w:kern w:val="21"/>
          <w:lang w:eastAsia="zh-CN"/>
          <w14:textFill>
            <w14:solidFill>
              <w14:schemeClr w14:val="tx1"/>
            </w14:solidFill>
          </w14:textFill>
        </w:rPr>
      </w:pPr>
    </w:p>
    <w:p w14:paraId="6DFD87A2">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643" w:name="_Toc1663608947"/>
      <w:bookmarkStart w:id="644" w:name="_Toc19291"/>
      <w:bookmarkStart w:id="645" w:name="_Toc26515"/>
      <w:bookmarkStart w:id="646" w:name="_Toc199827177"/>
      <w:bookmarkStart w:id="647" w:name="_Toc32249"/>
      <w:bookmarkStart w:id="648" w:name="_Toc1180744812"/>
      <w:bookmarkStart w:id="649" w:name="_Toc520871871"/>
      <w:bookmarkStart w:id="650" w:name="_Toc21454"/>
      <w:bookmarkStart w:id="651" w:name="_Toc10498"/>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第十一章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坚持城市内涵式发展，建设</w:t>
      </w:r>
      <w:bookmarkEnd w:id="643"/>
      <w:bookmarkStart w:id="652" w:name="_Toc1959459072"/>
      <w:bookmarkStart w:id="653" w:name="_Toc184221052"/>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人文之城、</w:t>
      </w:r>
      <w:bookmarkEnd w:id="644"/>
      <w:bookmarkEnd w:id="645"/>
      <w:bookmarkEnd w:id="646"/>
    </w:p>
    <w:p w14:paraId="0A3F903F">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654" w:name="_Toc26874"/>
      <w:bookmarkStart w:id="655" w:name="_Toc1869420661"/>
      <w:bookmarkStart w:id="656" w:name="_Toc27626"/>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山水之城、活力之城</w:t>
      </w:r>
      <w:bookmarkEnd w:id="647"/>
      <w:bookmarkEnd w:id="648"/>
      <w:bookmarkEnd w:id="649"/>
      <w:bookmarkEnd w:id="650"/>
      <w:bookmarkEnd w:id="652"/>
      <w:bookmarkEnd w:id="653"/>
      <w:bookmarkEnd w:id="654"/>
      <w:bookmarkEnd w:id="655"/>
      <w:bookmarkEnd w:id="656"/>
    </w:p>
    <w:p w14:paraId="48DCC1F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p>
    <w:p w14:paraId="12FFDDA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深入贯彻中央城市工作会议精神，锚定创新、宜居、美丽、韧性、文明、智慧城市建设方向，不断优化城市环境，着力提升城市生活质量，深度彰显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品位肇庆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内涵特质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，打造粤港澳大湾区高品质现代新都市。</w:t>
      </w:r>
    </w:p>
    <w:p w14:paraId="3384837D">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57" w:name="_Toc1475231895"/>
      <w:bookmarkStart w:id="658" w:name="_Toc8083"/>
      <w:bookmarkStart w:id="659" w:name="_Toc1983231139"/>
      <w:bookmarkStart w:id="660" w:name="_Toc14970"/>
      <w:bookmarkStart w:id="661" w:name="_Toc5576"/>
      <w:bookmarkStart w:id="662" w:name="_Toc969410442"/>
      <w:bookmarkStart w:id="663" w:name="_Toc1980495187"/>
      <w:bookmarkStart w:id="664" w:name="_Toc926670194"/>
      <w:bookmarkStart w:id="665" w:name="_Toc1235049539"/>
      <w:bookmarkStart w:id="666" w:name="_Toc19027"/>
      <w:bookmarkStart w:id="667" w:name="_Toc1258"/>
      <w:bookmarkStart w:id="668" w:name="_Toc521338058"/>
      <w:bookmarkStart w:id="669" w:name="_Toc110389918"/>
      <w:bookmarkStart w:id="670" w:name="_Toc742499196"/>
      <w:bookmarkStart w:id="671" w:name="_Toc9868"/>
      <w:bookmarkStart w:id="672" w:name="_Toc1434892351"/>
      <w:bookmarkStart w:id="673" w:name="_Toc12007"/>
      <w:bookmarkStart w:id="674" w:name="_Toc1942125616"/>
      <w:bookmarkStart w:id="675" w:name="_Toc10897"/>
      <w:bookmarkStart w:id="676" w:name="_Toc2346"/>
      <w:bookmarkStart w:id="677" w:name="_Toc8420"/>
      <w:bookmarkStart w:id="678" w:name="_Toc3154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深入实施城市更新行动</w:t>
      </w:r>
      <w:bookmarkEnd w:id="657"/>
      <w:bookmarkEnd w:id="658"/>
      <w:bookmarkEnd w:id="659"/>
      <w:bookmarkEnd w:id="660"/>
      <w:bookmarkEnd w:id="661"/>
      <w:bookmarkEnd w:id="662"/>
      <w:bookmarkEnd w:id="663"/>
    </w:p>
    <w:p w14:paraId="1C40309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大力实施城市更新，转变城市开发建设方式，促进城市结构优化、功能完善、文脉赓续、品质提升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55C464B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加强既有建筑改造利用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。稳妥推进危险住房改造，加快拆除改造D级危险住房，分类分批对存在抗震安全隐患且具备加固价值的城镇房屋进行抗震加固。严禁以危险住房名义违法违规拆除改造历史文化街区、传统村落、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不可移动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物、历史建筑。持续推进既有居住建筑和公共建筑节能改造，加强建筑保温材料管理，鼓励居民开展城镇住房室内装修。加强老旧厂房、低效楼宇、传统商业设施等存量房屋改造利用，推动建筑功能转换和混合利用，根据建筑主导功能依法依规合理转换土地用途。</w:t>
      </w:r>
    </w:p>
    <w:p w14:paraId="31581F1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推进城镇老旧小区整治改造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。更新改造小区燃气等老化管线管</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道，整治楼栋内人行走道、排风烟道、通风井道等，全力消除安全隐患，支持有条件的楼栋加装电梯。</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加快推进</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一批</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老旧小区</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改造</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项目建设</w:t>
      </w:r>
      <w:r>
        <w:rPr>
          <w:rFonts w:hint="eastAsia"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，持续提升老旧小区居住环境、设施条件、服务功能和文化价值。加强城市更新重点地区、重要地段风貌管控。</w:t>
      </w:r>
    </w:p>
    <w:p w14:paraId="717CB0C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开展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未来社区（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完整社区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社区基本公共服务设施、便民商业服务设施、公共活动场地等，建设安全健康、设施完善、管理有序的完整社区，打造一刻钟便民生活圈、绿色生态圈、体育健身圈，丰富城市时尚元素。开展城市社区嵌入式服务设施建设，因地制宜补齐公共服务设施短板，优化综合服务设施布局。引导居民、规划师、设计师等参与社区建设。</w:t>
      </w:r>
    </w:p>
    <w:p w14:paraId="6DB0F32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推进老旧街区、老旧厂区、城中村等更新改造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端州区历史文化街区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市旧城区历史文化街区保护提升等项目建设，改造提升商业步行街和旧商业街区，因地制宜打造一批活力街区。鼓励以市场化方式推动老旧厂区更新改造，加强工业遗产保护利用，盘活利用闲置低效厂区、厂房和设施，植入新业态新功能。积极推进城中村改造，针对端州</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与鼎湖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衔接带、高要南岸等城中村集中区域，做好历史文化风貌保护前期工作，不搞大拆大建，“一村一策”采取拆除新建、整治提升、拆整结合等方式实施改造，切实消除安全风险隐患，改善居住条件和生活环境。加快推进老旧小区配套基础设施改造、老旧街区活化提升改造、排水管网配套设施升级改造、危旧住房及公共基础设施改造等项目建设，支持端州区打造全市城市更新样板。</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6CD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071" w:type="dxa"/>
            <w:vAlign w:val="center"/>
          </w:tcPr>
          <w:p w14:paraId="5C1CB61B">
            <w:pPr>
              <w:widowControl w:val="0"/>
              <w:kinsoku/>
              <w:overflowPunct w:val="0"/>
              <w:autoSpaceDE/>
              <w:autoSpaceDN/>
              <w:adjustRightInd/>
              <w:snapToGrid/>
              <w:spacing w:line="500" w:lineRule="exact"/>
              <w:jc w:val="center"/>
              <w:rPr>
                <w:rFonts w:ascii="Times New Roman" w:hAnsi="Times New Roman" w:eastAsia="方正小标宋简体" w:cs="Times New Roman"/>
                <w:snapToGrid/>
                <w:color w:val="000000" w:themeColor="text1"/>
                <w:kern w:val="21"/>
                <w:sz w:val="28"/>
                <w:szCs w:val="28"/>
                <w:lang w:eastAsia="zh-CN"/>
                <w14:textFill>
                  <w14:solidFill>
                    <w14:schemeClr w14:val="tx1"/>
                  </w14:solidFill>
                </w14:textFill>
              </w:rPr>
            </w:pPr>
            <w:bookmarkStart w:id="679" w:name="_Toc1758016626"/>
            <w:bookmarkStart w:id="680" w:name="_Toc883156521"/>
            <w:bookmarkStart w:id="681" w:name="_Toc628191130"/>
            <w:bookmarkStart w:id="682" w:name="_Toc22607"/>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14</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“十五五”时期肇庆市城市更新</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重点任务</w:t>
            </w:r>
          </w:p>
        </w:tc>
      </w:tr>
      <w:tr w14:paraId="0206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071" w:type="dxa"/>
          </w:tcPr>
          <w:p w14:paraId="7F37B8CE">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一、市级</w:t>
            </w:r>
          </w:p>
          <w:p w14:paraId="05F3AA29">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1.肇庆市城市生命线安全监管平台项目。</w:t>
            </w:r>
          </w:p>
          <w:p w14:paraId="5F5A8D2E">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2.肇庆市智慧城管项目。</w:t>
            </w:r>
          </w:p>
          <w:p w14:paraId="4D3F829D">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3.城市排水设施建设项目：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东部城区一体化排水防涝能力提升工程（打捆）、肇庆市西部片区排水防涝能力提升工程（打捆）、肇庆市东部城区一体化乡镇排水管网完善工程（打捆）、肇庆市西部片区乡镇排水管网完善工程（打捆）、肇庆市东部城区一体化供水管网升级改造工程（打捆）、肇庆市西部片区供水管网升级改造工程（打捆）。</w:t>
            </w:r>
          </w:p>
          <w:p w14:paraId="0CEDCD09">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二、县（市、区）</w:t>
            </w:r>
          </w:p>
          <w:p w14:paraId="7B830C3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端州区：端州区府前路、豪居路、阅江楼历史文化街区等保护提升项目，端州区老旧街区活化提升改造项目、端州区老旧小区配套基础设施改造项目（三期）、端州区危旧住房及公共基础设施改造项目、端州区排水管网配套设施升级改造工程项目、端州区西片区雨污分流及内涝综合治理提升工程、北岭片区排水防涝设施提升工程、端州区城乡融合发展提升工程、端州区排水防涝设施升级改造工程。</w:t>
            </w:r>
          </w:p>
          <w:p w14:paraId="6D413DC6">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2.鼎湖区：鼎湖区坑口、桂城、广利老旧小区升级改造项目，肇庆新区永安镇保障性住房项目，鼎湖区沿江片区发展综合提升项目道路配套建设工程，鼎湖区内涝黑点整治工程。</w:t>
            </w:r>
          </w:p>
          <w:p w14:paraId="4CD0862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3.高要区：实施高要区南兴、广新等7个片区老旧小区配套设施改造，推进高要区山口社区、陈孔村城中村改造，实施高要区城区补短板、象山片区道路等人居环境提质项目。</w:t>
            </w:r>
          </w:p>
          <w:p w14:paraId="475FD18D">
            <w:pPr>
              <w:widowControl w:val="0"/>
              <w:kinsoku/>
              <w:overflowPunct w:val="0"/>
              <w:autoSpaceDE/>
              <w:autoSpaceDN/>
              <w:adjustRightInd/>
              <w:snapToGrid/>
              <w:spacing w:line="400" w:lineRule="exact"/>
              <w:ind w:firstLine="560" w:firstLineChars="200"/>
              <w:jc w:val="both"/>
              <w:rPr>
                <w:rFonts w:ascii="Times New Roman" w:hAnsi="Times New Roman"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四会市：四会市旧城区历史文化街区保护提升项目、四会市老旧小区改造配套基础设施工程（三期）、野狸岗棚户区改造（三期）、四会市住房小区排污（红线内）整治工程、四会市城区排水提质增效项目子项目二（排水管网覆盖完善修复工程）。</w:t>
            </w:r>
          </w:p>
          <w:p w14:paraId="0442B81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5.广宁县：广宁县保障性租赁住房提质改造项目、广宁县老旧片区改造项目、广宁县城市更新项目、广宁县朝阳西二期改造工程、广宁县市政道路及配套设施项目、广宁县城乡内涝改善提升项目。</w:t>
            </w:r>
          </w:p>
          <w:p w14:paraId="18B505E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6.德庆县：德庆县老旧片区（社区）更新改造工程，致庆大道、解放路、康城大道等市政化更新提升工程，德庆县惠积街—横街历史文化街区保护提升项目、德庆县西湾片区连片土地收储开发项目。</w:t>
            </w:r>
          </w:p>
          <w:p w14:paraId="7DDB0836">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7.封开县：封开县时代广场周边路网与市政设施升级工程、封开县老旧城区燃气消防管网与社区服务完善工程、封开县封川古城历史建筑保护与活化利用项目。</w:t>
            </w:r>
          </w:p>
          <w:p w14:paraId="62B671CE">
            <w:pPr>
              <w:widowControl w:val="0"/>
              <w:numPr>
                <w:ilvl w:val="255"/>
                <w:numId w:val="0"/>
              </w:numPr>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8.怀集县：怀集县城区地下管网基础设施改造工程、怀集县排水管网雨污分流及改造完善工程、怀集县城区排水防涝改造工程、怀集县中心城区雨水管网及应急能力系统化提升工程、怀集县供水管网漏损治理及设备设施改造升级项目、怀集县西部片区规模供水及县城备用水源（县城应急供水）工程、怀集县第二水厂工程项目（二期）、怀集县城市基础设施更新、怀集县城镇老旧小区综合改造项目。</w:t>
            </w:r>
          </w:p>
          <w:p w14:paraId="48DD91C4">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9.肇庆高新区：肇庆高新区人居环境综合整治项目、肇庆高新区三峡移民村整体搬迁改造、肇庆高新区沙沥片区旧城改造项目。</w:t>
            </w:r>
          </w:p>
          <w:p w14:paraId="0DD192AE">
            <w:pPr>
              <w:widowControl w:val="0"/>
              <w:kinsoku/>
              <w:overflowPunct w:val="0"/>
              <w:autoSpaceDE/>
              <w:autoSpaceDN/>
              <w:adjustRightInd/>
              <w:snapToGrid/>
              <w:spacing w:after="156" w:afterLines="50" w:line="40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10.</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鼎湖莲花—富溪市管起步区项目（二期）、</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（市管起步区）基础设施项目。</w:t>
            </w:r>
          </w:p>
        </w:tc>
      </w:tr>
    </w:tbl>
    <w:p w14:paraId="4135F306">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83" w:name="_Toc23886"/>
      <w:bookmarkStart w:id="684" w:name="_Toc1179813116"/>
      <w:bookmarkStart w:id="685" w:name="_Toc1535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全面提升城市内涵品质</w:t>
      </w:r>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14:paraId="3534CA0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总结推广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品位端州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有效做法，逐步铺开</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品位肇庆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，统筹推进环境整治、风貌塑造与生态保护，推动城市发展向内涵式提升转型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6299577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深化城市环境综合整治。坚持系统施策、全域提质，以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洁化、绿化、亮化、序化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为抓手推动城市环境持续焕新。严格落实西江流域生态保护责任，深化黑臭水体治理与星湖、波海湖等重点水域生态修复，健全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“系统诊断—源头减污—绿色处理—生态融合”</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污水处置体系，守护水清岸绿的水生态环境。持续强化大气污染联防联控，严控工业废气、扬尘、机动车尾气排放，划定噪声敏感区域并推行建筑施工错峰作业，配套完善交通噪声隔离设施，营造空气清新、宁静舒适的居住环境。</w:t>
      </w:r>
    </w:p>
    <w:p w14:paraId="41D04BC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塑造特色城市风貌。严控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建筑高度和密度，推动主次干道、旅游景区等重点区域立面景观提升，丰富城市色彩基调，打造轮廓舒展、独具特色的城市风格。做强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位</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标杆，围绕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东城西产中文旅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，持续优化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区城市空间</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塑造人文风貌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；鼎湖区（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肇庆新区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突出现代简约+生态融合，打造西江岸线城市客厅；高要区打造滨江产业风貌与生态休闲风貌相融合的特色岸线，推动城区风貌与端州区两岸呼应、错位互补；四会市立足玉器文化等特色资源，塑造特色产业文旅风貌，助力全域风貌体系完善。各县域立足自身特色，塑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一县一风貌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的城乡风貌。</w:t>
      </w:r>
    </w:p>
    <w:p w14:paraId="67D9492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城市自然景观建设。推进城乡一体绿美建设，结合城市更新、城区扩绿添彩等工作，在端州区、鼎湖区等城市核心区域，建设一批口袋公园、小微绿地，完善绿道网络等绿地系统，提升城区绿化美化亮化水平。强化星湖、砚阳湖等城市自然景观保护，优化景观周边环境，完善配套服务设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强化城区天际线、山脊线、水岸线管控，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建设人与自然和谐共生的城市生态空间。</w:t>
      </w:r>
    </w:p>
    <w:p w14:paraId="52272B67">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86" w:name="_Toc16415"/>
      <w:bookmarkStart w:id="687" w:name="_Toc5198"/>
      <w:bookmarkStart w:id="688" w:name="_Toc1174909675"/>
      <w:bookmarkStart w:id="689" w:name="_Toc1758975332"/>
      <w:bookmarkStart w:id="690" w:name="_Toc125559508"/>
      <w:bookmarkStart w:id="691" w:name="_Toc18935"/>
      <w:bookmarkStart w:id="692" w:name="_Toc184883715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提升城市精细化管理水平</w:t>
      </w:r>
      <w:bookmarkEnd w:id="651"/>
      <w:bookmarkEnd w:id="686"/>
      <w:bookmarkEnd w:id="687"/>
      <w:bookmarkEnd w:id="688"/>
      <w:bookmarkEnd w:id="689"/>
      <w:bookmarkEnd w:id="690"/>
      <w:bookmarkEnd w:id="691"/>
      <w:bookmarkEnd w:id="692"/>
    </w:p>
    <w:p w14:paraId="5FCE5A33">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完善城市治理工作体系，以智慧化赋能为核心，以机制完善为保障，以模式创新为突破，全面提升城市精细化管理效能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71B2CD1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完善城市治理工作体系。聚焦市政基础设施维护、城市交通疏导、农贸市场规范运营等关键领域，健全常态化、长效化治理机制，推动城市治理从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运动式整治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制度化管控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转变。立足城市可持续发展需求，加快构建多元化、可持续的城市建设运营投融资体系，整合各类资源要素，为精细化管理落地实施提供坚实资金保障。</w:t>
      </w:r>
    </w:p>
    <w:p w14:paraId="59895C2F">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深化智慧城市建设。统筹推进城市运行管理服务平台建设，深化城市生命线安全工程智能监测应用，提升城市风险防控和精细化治理能力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。加强地下综合管廊建设和老旧管线改造升级，深入推进燃气管道老化更新改造和“带病运行”专项治理，同步加强物联感知设施部署和联网监测。推进绿色智慧城市建设，推广绿色建材和分布式光伏应用。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高标准建立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一网统管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智慧城市运营中心，整合数据资源、汇聚治理场景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重点深化智慧城管、智慧交通、智慧应急等应用系统建设，推动跨部门数据共享、业务协同，以数字化赋能提升治理效率。</w:t>
      </w:r>
    </w:p>
    <w:p w14:paraId="208CE5F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创新基层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模式。全面推行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网格化+智慧化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管理模式，优化网格划分、配强网格力量，实现城市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服务精准下沉。拓宽群众参与城市治理的渠道，搭建线上线下联动反馈平台，健全问题发现、派单、处置、核查、反馈全流程闭环快速处置机制，推动形成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全民参与、共建共享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新格局。</w:t>
      </w:r>
    </w:p>
    <w:p w14:paraId="62505229">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693" w:name="_Toc43759898"/>
      <w:bookmarkStart w:id="694" w:name="_Toc1242021194"/>
      <w:bookmarkStart w:id="695" w:name="_Toc4473"/>
      <w:bookmarkStart w:id="696" w:name="_Toc901077420"/>
      <w:bookmarkStart w:id="697" w:name="_Toc16883"/>
      <w:bookmarkStart w:id="698" w:name="_Toc18336"/>
      <w:bookmarkStart w:id="699" w:name="_Toc82761410"/>
      <w:bookmarkStart w:id="700" w:name="_Toc167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推动房地产高质量发展</w:t>
      </w:r>
      <w:bookmarkEnd w:id="693"/>
      <w:bookmarkEnd w:id="694"/>
      <w:bookmarkEnd w:id="695"/>
      <w:bookmarkEnd w:id="696"/>
      <w:bookmarkEnd w:id="697"/>
      <w:bookmarkEnd w:id="698"/>
      <w:bookmarkEnd w:id="699"/>
      <w:bookmarkEnd w:id="700"/>
    </w:p>
    <w:p w14:paraId="0618925A">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以模式创新为引领、服务提质为支撑，推动房地产行业从规模扩张向质量效益转型，助力实现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住有宜居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目标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04E6602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加快构建房地产发展新模式。完善商品房开发、融资、销售等基础制度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人、房、地、钱</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要素联动的新机制，加强对人口结构、人才引进、产业布局等方面的精准研判，科学安排年度土地供应规模、结构和时序，确保土地供应与住房需求相匹配，防止市场大起大落。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一体推进好房子、好小区、好社区、好城区“四好”建设，</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全面对标先进地区标准，制定符合肇庆实际的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好房子</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规划建设指引，优化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得房率、建筑节能、绿色低碳等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要求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，积极推广第四代</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住宅</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模式，推动从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住有所居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住有宜居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高质量跨越</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。攻坚烂尾项目盘活，统筹解决项目资金链、手续办理、债务化解等关键问题。</w:t>
      </w:r>
    </w:p>
    <w:p w14:paraId="1EADFF7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优化保障性住房供给。重点面向符合条件的新市民、青年人及各类引进人才等群体，分层次、多渠道提供保障性租赁住房、配售型保障性住房等多元化产品。以职住平衡为导向，在肇庆高新区和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新区等产业和人口集聚区加大供应力度。建立更为透明、高效的轮候和配租配售机制。积极引导社会力量参与保障性住房的投资、建设和运营。</w:t>
      </w:r>
    </w:p>
    <w:p w14:paraId="2C27A37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实施物业服务质量提升行动。加快提升物业服务质量，建立健全物业服务标准体系和信用评价体系，实施分等定级管理。鼓励物业服务企业拓展服务领域，将家政、养老、托育、零售等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融入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老社区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，满足居民多样化生活需求。加强行业监管，提升物业管理的专业化、智能化和精细化水平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提升社区管理效率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加强物业从业人员技能培训，提升行业整体服务素养，打造有温度、高品质的社区服务生态。</w:t>
      </w:r>
    </w:p>
    <w:p w14:paraId="76E7A405">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01" w:name="_Toc31313"/>
      <w:bookmarkStart w:id="702" w:name="_Toc157224776"/>
      <w:bookmarkStart w:id="703" w:name="_Toc471020851"/>
      <w:bookmarkStart w:id="704" w:name="_Toc933694818"/>
      <w:bookmarkStart w:id="705" w:name="_Toc11183"/>
      <w:bookmarkStart w:id="706" w:name="_Toc27129"/>
      <w:bookmarkStart w:id="707" w:name="_Toc41"/>
      <w:bookmarkStart w:id="708" w:name="_Toc473075060"/>
      <w:bookmarkStart w:id="709" w:name="_Toc1463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提高农业转移人口市民化质量</w:t>
      </w:r>
      <w:bookmarkEnd w:id="701"/>
      <w:bookmarkEnd w:id="702"/>
      <w:bookmarkEnd w:id="703"/>
      <w:bookmarkEnd w:id="704"/>
      <w:bookmarkEnd w:id="705"/>
      <w:bookmarkEnd w:id="706"/>
      <w:bookmarkEnd w:id="707"/>
      <w:bookmarkEnd w:id="708"/>
    </w:p>
    <w:p w14:paraId="242067C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以保障平等权益为核心、便利落户为突破、公共服务均等化为支撑，全面提升农业转移人口市民化质量</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252708E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深化户籍制度改革与落户便利化。进一步深化户籍制度改革，推动户政业务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跨域通办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，推广四会市和广宁县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进一步深化户籍制度改革服务工作</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试点经验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。聚焦落户便利化精准发力，实施“零门槛”落户政策，简化落户申报材料，推行户籍业务“线上办、掌上办、跨域通办”，建立落户申请“容缺受理”机制。试行以经常居住地登记户口制度。</w:t>
      </w:r>
    </w:p>
    <w:p w14:paraId="6C8D8E99">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完善农业转移人口公共服务供给。建立与常住人口规模相适应的基本公共服务供给方式，合理配置基本公共服务资源。保障农业转移人口随迁子女平等接受义务教育；支持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中职（技工）学校</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面向农业转移人口开展技能培训。以基层为重点，预防为主，强化公共卫生服务均等化保障，将农业转移人口全面纳入城镇基本公共卫生服务体系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扩大保障性住房供给范围，优先将农业转移人口纳入公租房、保障性租赁住房保障体系，在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四会市、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高新区等农业转移人口集中区域，配套建设产业园区周边租赁住房。推动农业转移人口融入城镇文化生活，组织农业转移人口参与民俗体验、文艺展演等，增强城市归属感。</w:t>
      </w:r>
    </w:p>
    <w:p w14:paraId="7A30DE7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健全农业转移人口保障体系。构建覆盖农业转移人口的多层次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社会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保障体系，强化权益维护与风险防范。推动农业转移人口养老保险、医疗保险应保尽保</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，不断扩大农业转移人口医保异地直接结算覆盖面。</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优化社保关系转移接续流程，实现跨区域社保转移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线上办、即时办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，保障农业转移人口社保权益连续衔接。促进农业转移人口在城镇稳定就业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保障农民工等重点群体就业。加强劳动权益保护，常态化排查欠薪问题</w:t>
      </w:r>
      <w:bookmarkEnd w:id="709"/>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5500EC07">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10" w:name="_Toc1863579568"/>
      <w:bookmarkStart w:id="711" w:name="_Toc678639390"/>
      <w:bookmarkStart w:id="712" w:name="_Toc30793"/>
      <w:bookmarkStart w:id="713" w:name="_Toc14959"/>
      <w:bookmarkStart w:id="714" w:name="_Toc1673929695"/>
      <w:bookmarkStart w:id="715" w:name="_Toc1107839340"/>
      <w:bookmarkStart w:id="716" w:name="_Toc86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第六节  全面激发城市活力</w:t>
      </w:r>
      <w:bookmarkEnd w:id="710"/>
      <w:bookmarkEnd w:id="711"/>
      <w:bookmarkEnd w:id="712"/>
      <w:bookmarkEnd w:id="713"/>
      <w:bookmarkEnd w:id="714"/>
      <w:bookmarkEnd w:id="715"/>
      <w:bookmarkEnd w:id="716"/>
    </w:p>
    <w:p w14:paraId="3E1C99E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聚焦人口集聚与活力提升核心目标，着力塑造兼具文艺底蕴、人文特质、青春活力与时尚气息的城市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活力</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形象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切实增强市民幸福感、归属感。推动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端州</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焕发新活力，重点打造沉浸式文化体验街区、潮流文创市集等载体，培育多元消费热点，打造怀旧与时尚交融的城市打卡地。丰富常态化城市活动供给，组织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开展</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艺术节、潮流音乐季、民俗体验等特色活动，搭建市民互动交流平台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精准对接大学生群体需求，打造青年活力商圈，积极引入网红打卡店、主题体验馆等新业态，适配年轻群体消费偏好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，以活动聚人气、以人气增活力。</w:t>
      </w:r>
    </w:p>
    <w:p w14:paraId="1B131F26">
      <w:pPr>
        <w:pStyle w:val="8"/>
        <w:widowControl w:val="0"/>
        <w:kinsoku/>
        <w:overflowPunct w:val="0"/>
        <w:autoSpaceDE/>
        <w:autoSpaceDN/>
        <w:adjustRightInd/>
        <w:snapToGrid/>
        <w:spacing w:after="0" w:line="590" w:lineRule="exact"/>
        <w:ind w:firstLine="640" w:firstLineChars="200"/>
        <w:jc w:val="both"/>
        <w:rPr>
          <w:rFonts w:ascii="Times New Roman" w:hAnsi="Times New Roman" w:eastAsia="方正仿宋_GBK"/>
          <w:snapToGrid/>
          <w:color w:val="000000" w:themeColor="text1"/>
          <w:kern w:val="21"/>
          <w:sz w:val="32"/>
          <w:szCs w:val="32"/>
          <w:lang w:eastAsia="zh-CN"/>
          <w14:textFill>
            <w14:solidFill>
              <w14:schemeClr w14:val="tx1"/>
            </w14:solidFill>
          </w14:textFill>
        </w:rPr>
      </w:pPr>
    </w:p>
    <w:p w14:paraId="625BD335">
      <w:pPr>
        <w:widowControl w:val="0"/>
        <w:kinsoku/>
        <w:overflowPunct w:val="0"/>
        <w:autoSpaceDE/>
        <w:autoSpaceDN/>
        <w:adjustRightInd/>
        <w:snapToGrid/>
        <w:spacing w:line="590" w:lineRule="exact"/>
        <w:ind w:firstLine="640" w:firstLineChars="200"/>
        <w:jc w:val="both"/>
        <w:rPr>
          <w:rFonts w:ascii="Times New Roman" w:hAnsi="Times New Roman" w:eastAsia="方正仿宋_GBK"/>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snapToGrid/>
          <w:color w:val="000000" w:themeColor="text1"/>
          <w:kern w:val="21"/>
          <w:sz w:val="32"/>
          <w:szCs w:val="32"/>
          <w:lang w:eastAsia="zh-CN"/>
          <w14:textFill>
            <w14:solidFill>
              <w14:schemeClr w14:val="tx1"/>
            </w14:solidFill>
          </w14:textFill>
        </w:rPr>
        <w:br w:type="page"/>
      </w:r>
    </w:p>
    <w:p w14:paraId="35C06364">
      <w:pPr>
        <w:pStyle w:val="8"/>
        <w:widowControl w:val="0"/>
        <w:kinsoku/>
        <w:overflowPunct w:val="0"/>
        <w:autoSpaceDE/>
        <w:autoSpaceDN/>
        <w:adjustRightInd/>
        <w:snapToGrid/>
        <w:spacing w:after="0" w:line="400" w:lineRule="exact"/>
        <w:ind w:firstLine="640" w:firstLineChars="200"/>
        <w:jc w:val="both"/>
        <w:rPr>
          <w:rFonts w:ascii="Times New Roman" w:hAnsi="Times New Roman" w:eastAsia="方正仿宋_GBK"/>
          <w:snapToGrid/>
          <w:color w:val="000000" w:themeColor="text1"/>
          <w:kern w:val="21"/>
          <w:sz w:val="32"/>
          <w:szCs w:val="32"/>
          <w:lang w:eastAsia="zh-CN"/>
          <w14:textFill>
            <w14:solidFill>
              <w14:schemeClr w14:val="tx1"/>
            </w14:solidFill>
          </w14:textFill>
        </w:rPr>
      </w:pPr>
    </w:p>
    <w:p w14:paraId="0EF11D49">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717" w:name="_Toc1457441833"/>
      <w:bookmarkStart w:id="718" w:name="_Toc1501543889"/>
      <w:bookmarkStart w:id="719" w:name="_Toc7487"/>
      <w:bookmarkStart w:id="720" w:name="_Toc23753"/>
      <w:bookmarkStart w:id="721" w:name="_Toc1908451761"/>
      <w:bookmarkStart w:id="722" w:name="_Toc14460"/>
      <w:bookmarkStart w:id="723" w:name="_Toc1753803211"/>
      <w:bookmarkStart w:id="724" w:name="_Toc8330"/>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第十</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二</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推进绿美肇庆生态建设，筑牢</w:t>
      </w:r>
      <w:bookmarkEnd w:id="717"/>
      <w:bookmarkStart w:id="725" w:name="_Toc1680763881"/>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大湾区</w:t>
      </w:r>
      <w:bookmarkEnd w:id="718"/>
      <w:bookmarkEnd w:id="719"/>
      <w:bookmarkEnd w:id="720"/>
    </w:p>
    <w:p w14:paraId="694C30A4">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726" w:name="_Toc562739832"/>
      <w:bookmarkStart w:id="727" w:name="_Toc29075"/>
      <w:bookmarkStart w:id="728" w:name="_Toc18471"/>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西部生态屏障</w:t>
      </w:r>
      <w:bookmarkEnd w:id="721"/>
      <w:bookmarkEnd w:id="722"/>
      <w:bookmarkEnd w:id="723"/>
      <w:bookmarkEnd w:id="724"/>
      <w:bookmarkEnd w:id="725"/>
      <w:bookmarkEnd w:id="726"/>
      <w:bookmarkEnd w:id="727"/>
      <w:bookmarkEnd w:id="728"/>
    </w:p>
    <w:p w14:paraId="06E9ECBE">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3A512B5F">
      <w:pPr>
        <w:widowControl w:val="0"/>
        <w:kinsoku/>
        <w:overflowPunct w:val="0"/>
        <w:autoSpaceDE/>
        <w:autoSpaceDN/>
        <w:adjustRightInd/>
        <w:snapToGrid/>
        <w:spacing w:line="576"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牢固树立和践行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绿水青山就是金山银山</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理念，坚持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双碳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引领，深入推进绿美肇庆生态建设，积极参与大湾区美丽中国先行区建设，进一步筑牢大湾区西部生态屏障。</w:t>
      </w:r>
    </w:p>
    <w:p w14:paraId="35F5A9CD">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29" w:name="_Toc2058036115"/>
      <w:bookmarkStart w:id="730" w:name="_Toc7580"/>
      <w:bookmarkStart w:id="731" w:name="_Toc24271"/>
      <w:bookmarkStart w:id="732" w:name="_Toc255168981"/>
      <w:bookmarkStart w:id="733" w:name="_Toc1473279985"/>
      <w:bookmarkStart w:id="734" w:name="_Toc1774469019"/>
      <w:bookmarkStart w:id="735" w:name="_Toc3081"/>
      <w:bookmarkStart w:id="736" w:name="_Toc508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深入推进污染防治攻坚</w:t>
      </w:r>
      <w:bookmarkEnd w:id="729"/>
      <w:bookmarkEnd w:id="730"/>
      <w:bookmarkEnd w:id="731"/>
      <w:bookmarkEnd w:id="732"/>
      <w:bookmarkEnd w:id="733"/>
      <w:bookmarkEnd w:id="734"/>
      <w:bookmarkEnd w:id="735"/>
      <w:bookmarkEnd w:id="736"/>
    </w:p>
    <w:p w14:paraId="0B0F2C76">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坚持环保为民，全面落实精准科学依法治污，深入打好蓝天、碧水、净土保卫战，推动污染防治攻坚向美丽建设拓展。</w:t>
      </w:r>
    </w:p>
    <w:p w14:paraId="2FCF8357">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持续打赢蓝天保卫战。强化减污降碳协同、多污染物控制协同、区域治理协同，力争细颗粒物</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臭氧浓度控制在合理区间，全面提升区域污染治理整体效能。聚焦重点行业，加快水泥、玻璃、垃圾焚烧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等企业</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超低排放改造，同步提升涉VOCs企业治理效能，淘汰低效失效治理设施，全面夯实工业污染治理根基。强化移动源全链条管控，深化</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车企油路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联合防控机制，持续加强上路执法检查，严格强化机动车检验机构监管，稳步推进老旧柴油货车淘汰更新，严格落实黑烟车禁行监管要求，全面提升移动源污染管控精细化水平。深化面源污染综合整治，严格落实施工工地扬尘防控措施，持续强化道路扬尘精细化管控，抓实餐饮油烟治理提质增效，强化露天焚烧常态化监管，持续提升面源污染治理成效。</w:t>
      </w:r>
    </w:p>
    <w:p w14:paraId="05CB426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深入打好碧水保卫战。强化以水而定、量水而行，严格落实水资源刚性约束制度，</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实行</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用水总量和强度双控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推动水源与水质保障升级</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实现西江等大江大河水质稳定，加快建设星湖治水示范点，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创建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美丽</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河湖。重点推进河流、湖泊、湿地等天然生态基础设施的保护与修复，加强西江流域、贺江流域碧道建设和星湖环湖水岸绿化，开展近自然河道生态修复。高质量推进碧道建设和小流域综合治理，逐年开展高质量水源林建设，加强流域内水土保持。加快推进城乡饮用水水源保护区优化调整和规范化建设，完善地理界标和警示标志设置。严格做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农业面源污染</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控，深入开展畜禽养殖粪污资源化利用整县推进项目建设。加强河涌治理，采取截污纳管、建设小型污水处理设施、清理河道淤泥等措施，切断污染物来源，提升水体自净能力。加快补齐城镇和工业园区污水收集和处理设施短板，完善雨污分流管网建设，持续深入推进城乡黑臭水体和重污染河涌治理，建立健全治理运维监管长效机制。建设生态拦截带、农田退水净化湿地等生态基础设施，实现污染物的原位消解与转化。</w:t>
      </w:r>
    </w:p>
    <w:p w14:paraId="619B6AA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土壤污染源头防控。落实受污染耕地安全利用和严格管控措施，严格建设用地准入管理，严控重金属污染物排放，完善土壤污染风险评估与修复监管流程。开展重金属环境安全隐患排查整治，推进电镀工业园、无主矿山、尾矿库（堆渣场）等重点区域隐患排查和治理，推动重点行业绿色转型与产业结构优化，构建重金属监测防控与应急响应机制。落实土壤污染状况调查，有</w:t>
      </w:r>
      <w:r>
        <w:rPr>
          <w:rFonts w:ascii="Times New Roman" w:hAnsi="Times New Roman" w:eastAsia="方正仿宋_GBK" w:cs="Times New Roman Regular"/>
          <w:snapToGrid/>
          <w:color w:val="000000" w:themeColor="text1"/>
          <w:spacing w:val="6"/>
          <w:kern w:val="21"/>
          <w:sz w:val="32"/>
          <w:szCs w:val="32"/>
          <w:lang w:eastAsia="zh-CN"/>
          <w14:textFill>
            <w14:solidFill>
              <w14:schemeClr w14:val="tx1"/>
            </w14:solidFill>
          </w14:textFill>
        </w:rPr>
        <w:t>效保障重点建设用地安全。组织开展土壤污染重点监管单位周边的土壤、地下水监测，开展化学品生产企业以及工业集聚区、危险废物处置场、垃圾填埋场等地下水状况调查评估。实施地下水污染防治分区管理，推进土壤与地下水污染协同调查、联合治理。</w:t>
      </w:r>
    </w:p>
    <w:p w14:paraId="1963A04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无废城市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建设。大力发展循环经济，以广宁县列入国家循环经济示范县建设地区为契机，主动对接大湾区绿色产业体系与资源循环需求，加快构建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回收加工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精深制造</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再回收</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全链条循环经济产业体系，健全全域废弃物循环利用体系，全面提升各类废弃物分类处置、回收利用和风险管控能力。聚焦一般工业固体废物高值化利用，推动粉煤灰、尾矿、冶炼废渣等大宗工业固废高水平全量利用，延伸废旧动力电池梯次多层次应用场景，推动矿业固体废物资源化生产及利用，夯实工业领域无废基础。强化危险废物规范管控与资源化利用，推进危险废物源头减量、安全无害化处置，积极探索飞灰等危废资源化综合利用路径，提升危废处置规范化、专业化、资源化水平，守住环境安全底线。抓实建筑垃圾规范治理，严格落实建筑垃圾分类管理机制，完善建筑废弃物循环利用配套体系，全面提升建筑垃圾资源化利用水平，实现建筑固废就近处置、就地循环、高效利用。深化生活垃圾精细管控，推进有机垃圾专业化综合处理，推动生活垃圾源头分类减量、可回收物收运体系与再生资源利用体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两网融合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完善农业废弃物循环体系，持续推进畜禽养殖废弃物资源化利用，常态化开展废弃农膜、农药包装物等农业废弃物回收处置与资源化利用，打通农业废弃物就地就近循环利用链条。统筹工业固废、危险废物、建筑固废、生活废弃物、农业废弃物全领域治理，构建多领域协同联动、全链条闭环发展的无废产业发展格局。</w:t>
      </w:r>
    </w:p>
    <w:p w14:paraId="72875AB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加强噪声与辐射等污染管控。加强噪声污染防治，</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工业噪声管理，严格执行声环境功能区建设项目准入要求，深化交通噪声治理，加强施工噪声监督管理，完善社会生活噪声治理体系。严格落实放射源排查，提升辐射监管和应急能力，防范核与辐射安全风险。加强环境风险防控，深入推进新污染物治理，强化固废处置环节的新污染物协同治理。</w:t>
      </w:r>
    </w:p>
    <w:p w14:paraId="75F45136">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37" w:name="_Toc1885284528"/>
      <w:bookmarkStart w:id="738" w:name="_Toc196718072"/>
      <w:bookmarkStart w:id="739" w:name="_Toc27174"/>
      <w:bookmarkStart w:id="740" w:name="_Toc51541928"/>
      <w:bookmarkStart w:id="741" w:name="_Toc27715"/>
      <w:bookmarkStart w:id="742" w:name="_Toc12300"/>
      <w:bookmarkStart w:id="743" w:name="_Toc956619435"/>
      <w:bookmarkStart w:id="744" w:name="_Toc1819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加快绿美肇庆生态建设</w:t>
      </w:r>
      <w:bookmarkEnd w:id="737"/>
      <w:bookmarkEnd w:id="738"/>
      <w:bookmarkEnd w:id="739"/>
      <w:bookmarkEnd w:id="740"/>
      <w:bookmarkEnd w:id="741"/>
      <w:bookmarkEnd w:id="742"/>
      <w:bookmarkEnd w:id="743"/>
      <w:bookmarkEnd w:id="744"/>
    </w:p>
    <w:p w14:paraId="6273F08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传承弘扬</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岳山造林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光荣传统，瞄准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十大愿景</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，持续扩绿兴绿、护绿，提升绿美综合效益，厚植肇庆高质量发展的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绿色家底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7D47613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加快实施重要生态系统保护和修复工程。完善自然保护地整合优化，加强自然保护地生态保护修复，持续推进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自然保护地强化监督。加强对西江、鼎湖山、星湖等重要生态系统的保护，建成鼎湖山生态文明示范区。推进西江流域水环境系统治理，严格保护沿江湿地、滩涂等生态区域。推进星湖湿地生态修复与景观提升，以星湖湿地为重点，实施星湖水质水生态修复工程，加快推进珠三角大美湿地体系建设。加强矿山生态修复治理，积极开展矿区生态修复工作。</w:t>
      </w:r>
    </w:p>
    <w:p w14:paraId="4E3F33F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推进生物多样性保护。以鼎湖山、北岭山、羚羊山、西江烂柯山、封开黑石顶、怀集大稠顶等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国家级、省级自然保护区为核心</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有序开展山地生物多样性调查，加强对珍稀鸟类、昆虫类和特有植物类的保护。强化动物迁徙区和栖息地保护，构建河流生态廊道，增强栖息地连通性，扩大适宜栖息地范围，全面提升生态系统的多样性、稳定性和持续性。推动鼎湖山树木园延伸纳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华南国家植物园</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体系，推进肇庆植物园规划建设。加强西江中下游地区珍稀植物保护。提高外来入侵物种的早期预警、应急处理能力。</w:t>
      </w:r>
    </w:p>
    <w:p w14:paraId="54BE66E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精准提升森林质量。坚持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增量添绿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森林质量精准提升，推进广东省西江流域中央财政国土绿化示范项目，通过植树造林、封山育林等措施，提升森林质量，保持全域森林覆盖率稳定。系统推进国家储备林建设和高质量森林抚育，深入开展低产低效林分改造和林相改善，提高森林质量与单位面积蓄积量，增强森林碳汇能力。</w:t>
      </w:r>
    </w:p>
    <w:p w14:paraId="7728208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擦亮“山湖城江林泉峡”</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自然景观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名片</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。筑牢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两屏多廊一网多核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生态保护格局，统筹山水林田湖草系统治理，筑牢景观生态基底，推动自然景观与历史文化、民俗风情有机融合。推进端州区七星岩、广宁县竹海、德庆县盘龙峡、封开县贺江碧道画廊等县域自然景观提质，开发生态研学、康养度假等产品。完善全市绿道体系，实现各县（市、区）域绿道互联互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继续完善提升全市现有郊野公园、山地公园基础设施，推进高要区神符山山地公园、高要区巽峰塔郊野公园、广宁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竹海山地公园、怀集县西界山地公园</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规划建设。</w:t>
      </w:r>
    </w:p>
    <w:p w14:paraId="730F867D">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统筹推进美丽城市、美丽县城、美丽乡村建设。加强城市空间统筹，</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科学划定与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严守</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生态保护红线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，严格管控鼎湖山、北岭山、十二带等重点生态区域，筑牢城市绿色屏障。加强县城绿化与人居环境建设，实施城镇绿化、道路亮化、公共空间景观提升工程，推动绿色通道品质提升。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深度融合“百千万工程”，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持续开展乡村绿化建设，在乡村道路、公共场所、农户庭院及门前屋后积极植绿增绿，加强乡村古树名木保护，探索各具特色的美丽乡村建设路径。</w:t>
      </w:r>
    </w:p>
    <w:p w14:paraId="659667D4">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45" w:name="_Toc229314682"/>
      <w:bookmarkStart w:id="746" w:name="_Toc9113"/>
      <w:bookmarkStart w:id="747" w:name="_Toc475412497"/>
      <w:bookmarkStart w:id="748" w:name="_Toc28542"/>
      <w:bookmarkStart w:id="749" w:name="_Toc1801330850"/>
      <w:bookmarkStart w:id="750" w:name="_Toc25359"/>
      <w:bookmarkStart w:id="751" w:name="_Toc13056"/>
      <w:bookmarkStart w:id="752" w:name="_Toc97439363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积极稳妥推动和实现碳达峰</w:t>
      </w:r>
      <w:bookmarkEnd w:id="745"/>
      <w:bookmarkEnd w:id="746"/>
      <w:bookmarkEnd w:id="747"/>
      <w:bookmarkEnd w:id="748"/>
      <w:bookmarkEnd w:id="749"/>
      <w:bookmarkEnd w:id="750"/>
      <w:bookmarkEnd w:id="751"/>
      <w:bookmarkEnd w:id="752"/>
    </w:p>
    <w:p w14:paraId="227C8A76">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落实碳达峰碳中和战略，以顶层设计锚定方向，聚焦重点领域攻坚突破，有力有序有效做好碳达峰工作。</w:t>
      </w:r>
    </w:p>
    <w:p w14:paraId="3BB54D35">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加强碳达峰</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制度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设计。落实关于加快构建碳排放双控制度体系的工作部署，逐步探索完善具有肇庆特色的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地方碳考核+行业碳管控+企业碳管理+项目碳评价+产品碳足迹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机制。落实碳排放统计核算机制和碳排放预算管理制度，</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开展</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碳达峰碳中和综合评价。推动重点用能和碳排放单位建立碳排放管理体系，健全固定资产投资项目碳排放评价制度。</w:t>
      </w:r>
    </w:p>
    <w:p w14:paraId="6DBD393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推动重点领域碳达峰。</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深入开展产业绿色提质行动、新型能源体系规划建设行动、节能降碳协同增效行动、工业重点行业碳达峰行动、农业农村碳达峰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、交通运输绿色低碳转型、</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城乡建设碳达峰行动等碳达峰专项行动。强化目标指标约束和峰值导向，推动水泥、陶瓷、造纸、化工、纺织、金属加工等行业碳达峰，实施重点用能单位</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节能降碳</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管理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。落实节能审查和碳排放评价制度，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加强事中事后监管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推进低碳城市、绿色城镇、绿色社区、绿色矿山建设。</w:t>
      </w:r>
    </w:p>
    <w:p w14:paraId="2109A4AF">
      <w:pPr>
        <w:widowControl w:val="0"/>
        <w:kinsoku/>
        <w:overflowPunct w:val="0"/>
        <w:autoSpaceDE/>
        <w:autoSpaceDN/>
        <w:adjustRightInd/>
        <w:snapToGrid/>
        <w:spacing w:line="576"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实施节能降碳增效行动。</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严格实施固定资产投资项目节能审查和碳排放评价</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决遏制高耗能高排放低水平项目盲目发展，对高耗能高排放项目实行清单管理、分类处置、动态监控，坚决整改不符合要求的高耗能高排放项目，坚决严控增量项目，深入挖掘存量项目节能降碳的潜力，引导企业应用高效节能降碳产品、设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推动减</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污降碳协同增效</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，全面提升全市综合能效水平。</w:t>
      </w:r>
    </w:p>
    <w:p w14:paraId="7BC30267">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53" w:name="_Toc921303821"/>
      <w:bookmarkStart w:id="754" w:name="_Toc695834270"/>
      <w:bookmarkStart w:id="755" w:name="_Toc32739"/>
      <w:bookmarkStart w:id="756" w:name="_Toc14102"/>
      <w:bookmarkStart w:id="757" w:name="_Toc855527062"/>
      <w:bookmarkStart w:id="758" w:name="_Toc15593"/>
      <w:bookmarkStart w:id="759" w:name="_Toc27011"/>
      <w:bookmarkStart w:id="760" w:name="_Toc135606365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加快推动发展方式绿色转型</w:t>
      </w:r>
      <w:bookmarkEnd w:id="753"/>
      <w:bookmarkEnd w:id="754"/>
      <w:bookmarkEnd w:id="755"/>
      <w:bookmarkEnd w:id="756"/>
      <w:bookmarkEnd w:id="757"/>
      <w:bookmarkEnd w:id="758"/>
      <w:bookmarkEnd w:id="759"/>
      <w:bookmarkEnd w:id="760"/>
    </w:p>
    <w:p w14:paraId="0DFED571">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深入践行绿色发展理念，聚力结构优化、节能降碳，加快实现生产生活方式绿色变革，全面推动绿色低碳转型。</w:t>
      </w:r>
    </w:p>
    <w:p w14:paraId="6F3D1ABA">
      <w:pPr>
        <w:widowControl w:val="0"/>
        <w:kinsoku/>
        <w:overflowPunct w:val="0"/>
        <w:autoSpaceDE/>
        <w:autoSpaceDN/>
        <w:adjustRightInd/>
        <w:snapToGrid/>
        <w:spacing w:line="576"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生态环境分区管控。结合开发区整合优化，完善园区型重点管控单元生态环境准入清单，遵循全市生态规律和区域特征差异，深度衔接国土空间规划及用途管制制度，协同推进降碳、减污、扩绿、增长。加强产业引导，推进有色金属、建材、造纸等传统产业绿色低碳转型升级，在不降低生态环境质量的前提下，支持重大项目、基础设施和民生保障等项目建设</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p>
    <w:p w14:paraId="43933B7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推动能源绿色低碳转型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。紧扣碳排放双控实施要求，有序推动煤炭、石油消费达峰减量，严控水泥、陶瓷等行业煤炭低效消费，扩大清洁能源替代场景，降低油品依赖度。</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建设能源低碳化利用体系。推动能源消费方式变革，推广源网荷储一体化模式。积极发展虚拟电厂，推广</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新能源+灵活可调节负荷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等供用能协同发展模式，优化高要区金利镇、四会市大沙镇等地企业用能机制，优化能源供需匹配效率，构建源网荷储协同互动的新型电力消费生态。</w:t>
      </w:r>
    </w:p>
    <w:p w14:paraId="5802CF3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快产业绿色低碳转型。探索建设零碳园区，推动肇庆高新区建设全市首个跨境电商零碳智慧物流园，推动条件成熟的园区开展低碳化零碳化改造，建设一批绿色工厂、低碳园区等。支持科研机构、企事业单位开展碳达峰、碳中和节能环保生态技术研发与应用，发挥二氧化碳捕集利用与封存（CCUS）技术研发和产业化先发优势。探索开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低碳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单元和</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零碳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细胞建设，推动肇庆高新区国家碳达峰试点建设，实施一批绿色低碳项目，完善以碳账户为基础、碳信用为纽带、碳融资为目标、碳入表为反哺的</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四碳</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联动金融服务模式，打造绿色低碳发展高地。推动绿色建材、金属加工等传统产业绿色低碳转型，加快引导金属加工企业提高智能制造水平。前瞻布局清洁能源产业，推动资源节约集约利用。</w:t>
      </w:r>
    </w:p>
    <w:p w14:paraId="476A1272">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大力发展</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绿色经济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。发展壮大林海经济</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，大力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发展林木经济、林下经济等领域，推动竹木加工、林产化工等传统产业转型升级，加快推动德庆国家林业产业示范园区、广宁竹子产业基地等提质增效，因地制宜扩大竹子、肉桂、板栗、坚果等经济林及林下种植、养殖规模，大力发展森林旅游、森林康养、赏花经济等新业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挖掘水生态产品价值，依托西江、绥江等水资源培育水上旅游、水疗康养等水经济产业，探索开发生态渔业、湿地生态旅游等生态产品。培育碳汇经济</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，提升森林碳汇能力，</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持续探索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生态资产权益抵押+项目贷</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模式，支持区域生态环境提升及绿色产业发展。</w:t>
      </w:r>
    </w:p>
    <w:p w14:paraId="66C02D8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展绿色低碳全民行动。推广绿色交通出行方式，倡导广大市民优先选择步行、骑行、公共交通等低碳出行方式。推广绿色消费，拓展绿色产品供给，鼓励大型商超、电商平台设立绿色产品专区，实施绿色消费补贴政策，对符合条件的新能源汽车、节能电器等绿色产品购买行为，按标准给予定额补贴，激发绿色消费潜力。在城乡社区推广绿色建筑、绿色照明，完善垃圾分类收运处置体系。广泛开展绿色生活主题宣传活动，引导群众树立简约适度、绿色低碳的生活理念。</w:t>
      </w:r>
    </w:p>
    <w:tbl>
      <w:tblPr>
        <w:tblStyle w:val="23"/>
        <w:tblpPr w:leftFromText="180" w:rightFromText="180" w:vertAnchor="text" w:horzAnchor="page" w:tblpXSpec="center" w:tblpY="486"/>
        <w:tblOverlap w:val="never"/>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0FD8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071" w:type="dxa"/>
            <w:vAlign w:val="center"/>
          </w:tcPr>
          <w:p w14:paraId="1FF9AA93">
            <w:pPr>
              <w:widowControl w:val="0"/>
              <w:kinsoku/>
              <w:overflowPunct w:val="0"/>
              <w:autoSpaceDE/>
              <w:autoSpaceDN/>
              <w:adjustRightInd/>
              <w:snapToGrid/>
              <w:spacing w:line="500" w:lineRule="exact"/>
              <w:jc w:val="center"/>
              <w:textAlignment w:val="auto"/>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pPr>
            <w:bookmarkStart w:id="761" w:name="_Toc18862"/>
            <w:bookmarkStart w:id="762" w:name="_Toc26899"/>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15：</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十</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肇庆市</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生态环境保护重大建设</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项目</w:t>
            </w:r>
          </w:p>
        </w:tc>
      </w:tr>
      <w:tr w14:paraId="7496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71" w:type="dxa"/>
          </w:tcPr>
          <w:p w14:paraId="14A40D03">
            <w:pPr>
              <w:pStyle w:val="8"/>
              <w:widowControl w:val="0"/>
              <w:kinsoku/>
              <w:overflowPunct w:val="0"/>
              <w:autoSpaceDE/>
              <w:autoSpaceDN/>
              <w:adjustRightInd/>
              <w:snapToGrid/>
              <w:spacing w:after="0"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一、环境污染治理重点项目</w:t>
            </w:r>
          </w:p>
          <w:p w14:paraId="07CEE907">
            <w:pPr>
              <w:pStyle w:val="8"/>
              <w:widowControl w:val="0"/>
              <w:kinsoku/>
              <w:overflowPunct w:val="0"/>
              <w:autoSpaceDE/>
              <w:autoSpaceDN/>
              <w:adjustRightInd/>
              <w:snapToGrid/>
              <w:spacing w:after="0" w:line="400"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1.水环境治理：西江流域（肇庆段）地表水保护治理项目、高要区金利镇西围涌（金贸中路、城北路、西村片区段）入河排污口整治工程项目、四会市入河排污口规范化建设项目、四会市迳口镇漫水河流域水污染防治项目、肇庆市绥江美丽河湖保护与建设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西江流域粤桂跨界水生态环境监控预警综合观测站</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w:t>
            </w:r>
            <w:r>
              <w:rPr>
                <w:rFonts w:ascii="Times New Roman" w:hAnsi="Times New Roman" w:eastAsia="方正仿宋_GBK"/>
                <w:snapToGrid/>
                <w:color w:val="000000" w:themeColor="text1"/>
                <w:kern w:val="21"/>
                <w:sz w:val="28"/>
                <w:szCs w:val="28"/>
                <w:lang w:eastAsia="zh-CN"/>
                <w14:textFill>
                  <w14:solidFill>
                    <w14:schemeClr w14:val="tx1"/>
                  </w14:solidFill>
                </w14:textFill>
              </w:rPr>
              <w:t>德庆县悦城河综合整治工程、德庆县大冲河综合整治工程、</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怀集县饮用水水源保护区规范化建设和提升工程项目、怀集县水生态环境治理项目、怀集县10宗生态清洁小流域建设工程、</w:t>
            </w:r>
            <w:r>
              <w:rPr>
                <w:rFonts w:ascii="Times New Roman" w:hAnsi="Times New Roman" w:eastAsia="方正仿宋_GBK"/>
                <w:snapToGrid/>
                <w:color w:val="000000" w:themeColor="text1"/>
                <w:kern w:val="21"/>
                <w:sz w:val="28"/>
                <w:szCs w:val="28"/>
                <w:lang w:eastAsia="zh-CN"/>
                <w14:textFill>
                  <w14:solidFill>
                    <w14:schemeClr w14:val="tx1"/>
                  </w14:solidFill>
                </w14:textFill>
              </w:rPr>
              <w:t>怀集县</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马宁水幸福河湖建设项目。</w:t>
            </w:r>
          </w:p>
          <w:p w14:paraId="677409EE">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2.空气质量提升：华润水泥（封开）有限公司三期（5#、6#新型干法水泥熟料生产线）SCR脱硝技术改造项目、广东好顺欧迪斯科技股份有限公司废气治理工程。</w:t>
            </w:r>
          </w:p>
          <w:p w14:paraId="6ED6DDF6">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3.土壤环境安全保障：肇庆市农用地土壤重金属污染溯源项目、肇庆市一类垃圾填埋场地下水环境状况详细调查评估项目。</w:t>
            </w:r>
          </w:p>
          <w:p w14:paraId="19125163">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4.固体废物污染防控：肇庆市涉重金属重点行业企业污染源隐患排查项目、肇庆市无主尾矿库周边环境状况监测评估项目、肇庆德庆产业园区“无废园区”建设及工业固体废物管理提质增效项目、大宗工业固废综合利用示范生产线项目、肇庆市危险废物“5即”信息化监管体系项目。</w:t>
            </w:r>
          </w:p>
          <w:p w14:paraId="2EE6B66D">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5.治理能力建设：肇庆市核与辐射安全监管能力项目、肇庆市提升市属监测站监测能力项目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肇庆市西江流域突发环境事件应急演练项目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肇庆市生态环境应急能力项目、肇庆市生态环境执法能力提升项目、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肇庆市</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重点污染源自动监控中心运行项目。</w:t>
            </w:r>
          </w:p>
          <w:p w14:paraId="3233AADA">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二、生态建设与修复重点项目</w:t>
            </w:r>
          </w:p>
          <w:p w14:paraId="17DAE689">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广东西江流域中央财政国土绿化示范项目、肇庆植物园、“绿美端州”生态治理提升项目、广宁县山体边坡灾后修复工程项目、广宁县重点生态清洁小流域综合治理项目、广宁县中小河流流域治理项目、广宁县百千万绥江新城城防项目、德庆县香山森林公园环山公路升级改造及新建新圩路段环山道路、</w:t>
            </w:r>
            <w:r>
              <w:rPr>
                <w:rFonts w:hint="eastAsia" w:ascii="Times New Roman" w:hAnsi="Times New Roman" w:eastAsia="方正仿宋_GBK" w:cstheme="minorEastAsia"/>
                <w:snapToGrid/>
                <w:color w:val="000000" w:themeColor="text1"/>
                <w:kern w:val="21"/>
                <w:sz w:val="28"/>
                <w:szCs w:val="28"/>
                <w:lang w:eastAsia="zh-CN"/>
                <w14:textFill>
                  <w14:solidFill>
                    <w14:schemeClr w14:val="tx1"/>
                  </w14:solidFill>
                </w14:textFill>
              </w:rPr>
              <w:t>怀集县重金属整治项目、怀集县永固河（凤金村到南双桥段）中小河流治理工程、西江流域（怀集县）国土绿化示范项目</w:t>
            </w:r>
            <w:r>
              <w:rPr>
                <w:rFonts w:ascii="Times New Roman" w:hAnsi="Times New Roman" w:eastAsia="方正仿宋_GBK" w:cstheme="minorEastAsia"/>
                <w:snapToGrid/>
                <w:color w:val="000000" w:themeColor="text1"/>
                <w:kern w:val="21"/>
                <w:sz w:val="28"/>
                <w:szCs w:val="28"/>
                <w:lang w:eastAsia="zh-CN"/>
                <w14:textFill>
                  <w14:solidFill>
                    <w14:schemeClr w14:val="tx1"/>
                  </w14:solidFill>
                </w14:textFill>
              </w:rPr>
              <w:t>、封开县贺江流域综合治理工程、封开县山洪沟治理项目</w:t>
            </w:r>
            <w:r>
              <w:rPr>
                <w:rFonts w:hint="eastAsia" w:ascii="Times New Roman" w:hAnsi="Times New Roman" w:eastAsia="方正仿宋_GBK" w:cstheme="minorEastAsia"/>
                <w:snapToGrid/>
                <w:color w:val="000000" w:themeColor="text1"/>
                <w:kern w:val="21"/>
                <w:sz w:val="28"/>
                <w:szCs w:val="28"/>
                <w:lang w:eastAsia="zh-CN"/>
                <w14:textFill>
                  <w14:solidFill>
                    <w14:schemeClr w14:val="tx1"/>
                  </w14:solidFill>
                </w14:textFill>
              </w:rPr>
              <w:t>。</w:t>
            </w:r>
          </w:p>
          <w:p w14:paraId="62C03E47">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三、环保基础设施项目</w:t>
            </w:r>
          </w:p>
          <w:p w14:paraId="4B3CD052">
            <w:pPr>
              <w:pStyle w:val="8"/>
              <w:widowControl w:val="0"/>
              <w:kinsoku/>
              <w:overflowPunct w:val="0"/>
              <w:autoSpaceDE/>
              <w:autoSpaceDN/>
              <w:adjustRightInd/>
              <w:snapToGrid/>
              <w:spacing w:after="0" w:line="404" w:lineRule="exact"/>
              <w:ind w:firstLine="560" w:firstLineChars="200"/>
              <w:jc w:val="both"/>
              <w:textAlignment w:val="auto"/>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肇庆市城区排水管网更新改造及排涝能力提升项目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大旺西南、沙沥片区</w:t>
            </w:r>
            <w:r>
              <w:rPr>
                <w:rFonts w:ascii="Times New Roman" w:hAnsi="Times New Roman" w:eastAsia="方正仿宋_GBK"/>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、肇庆市中心城区建筑垃圾集中资源化利用项目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、端州区雨污水管网与配套设施升级改造工程（二—五期）、</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端州区垃圾分类及中转设施项目、</w:t>
            </w:r>
            <w:r>
              <w:rPr>
                <w:rFonts w:ascii="Times New Roman" w:hAnsi="Times New Roman" w:eastAsia="方正仿宋_GBK"/>
                <w:snapToGrid/>
                <w:color w:val="000000" w:themeColor="text1"/>
                <w:kern w:val="21"/>
                <w:sz w:val="28"/>
                <w:szCs w:val="28"/>
                <w:lang w:eastAsia="zh-CN"/>
                <w14:textFill>
                  <w14:solidFill>
                    <w14:schemeClr w14:val="tx1"/>
                  </w14:solidFill>
                </w14:textFill>
              </w:rPr>
              <w:t>怀集县大气污染防治工程项目</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、广宁县排水地下管网基础设施补短板项目、广宁县镇区污水处理补短板项目、广宁县城区排水管网更新改造工程</w:t>
            </w:r>
            <w:r>
              <w:rPr>
                <w:rFonts w:ascii="Times New Roman" w:hAnsi="Times New Roman" w:eastAsia="方正仿宋_GBK"/>
                <w:snapToGrid/>
                <w:color w:val="000000" w:themeColor="text1"/>
                <w:kern w:val="21"/>
                <w:sz w:val="28"/>
                <w:szCs w:val="28"/>
                <w:lang w:eastAsia="zh-CN"/>
                <w14:textFill>
                  <w14:solidFill>
                    <w14:schemeClr w14:val="tx1"/>
                  </w14:solidFill>
                </w14:textFill>
              </w:rPr>
              <w:t>、德庆县第二污水处理厂及配套污水管网项目</w:t>
            </w: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、德庆县建筑垃圾综合利用场项目。</w:t>
            </w:r>
          </w:p>
        </w:tc>
      </w:tr>
    </w:tbl>
    <w:p w14:paraId="6FA7F090">
      <w:pPr>
        <w:widowControl w:val="0"/>
        <w:kinsoku/>
        <w:overflowPunct w:val="0"/>
        <w:autoSpaceDE/>
        <w:autoSpaceDN/>
        <w:adjustRightInd/>
        <w:snapToGrid/>
        <w:spacing w:line="590" w:lineRule="exact"/>
        <w:jc w:val="both"/>
        <w:textAlignment w:val="auto"/>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pPr>
      <w:bookmarkStart w:id="763" w:name="_Toc703172053"/>
      <w:bookmarkStart w:id="764" w:name="_Toc15481"/>
      <w:bookmarkStart w:id="765" w:name="_Toc28611"/>
      <w:bookmarkStart w:id="766" w:name="_Toc1773008882"/>
      <w:bookmarkStart w:id="767" w:name="_Toc1877690928"/>
      <w:bookmarkStart w:id="768" w:name="_Toc1785605100"/>
      <w:r>
        <w:rPr>
          <w:rFonts w:ascii="Times New Roman" w:hAnsi="Times New Roman" w:eastAsia="方正小标宋简体" w:cs="方正小标宋简体"/>
          <w:snapToGrid/>
          <w:color w:val="000000" w:themeColor="text1"/>
          <w:kern w:val="21"/>
          <w:sz w:val="36"/>
          <w:szCs w:val="36"/>
          <w:lang w:eastAsia="zh-CN"/>
          <w14:textFill>
            <w14:solidFill>
              <w14:schemeClr w14:val="tx1"/>
            </w14:solidFill>
          </w14:textFill>
        </w:rPr>
        <w:br w:type="page"/>
      </w:r>
    </w:p>
    <w:p w14:paraId="2A0E5A50">
      <w:pPr>
        <w:pStyle w:val="3"/>
        <w:keepNext w:val="0"/>
        <w:keepLines w:val="0"/>
        <w:widowControl w:val="0"/>
        <w:kinsoku/>
        <w:overflowPunct w:val="0"/>
        <w:autoSpaceDE/>
        <w:autoSpaceDN/>
        <w:adjustRightInd/>
        <w:snapToGrid/>
        <w:spacing w:before="0" w:after="0" w:line="4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p>
    <w:p w14:paraId="4DEF2C27">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第十</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三</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推动文旅体深度融合，</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建设新时代文化肇庆</w:t>
      </w:r>
      <w:bookmarkEnd w:id="761"/>
      <w:bookmarkEnd w:id="762"/>
      <w:bookmarkEnd w:id="763"/>
      <w:bookmarkEnd w:id="764"/>
      <w:bookmarkEnd w:id="765"/>
      <w:bookmarkEnd w:id="766"/>
      <w:bookmarkEnd w:id="767"/>
      <w:bookmarkEnd w:id="768"/>
    </w:p>
    <w:p w14:paraId="0925CE9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p>
    <w:p w14:paraId="5676F665">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弘扬和践行社会主义核心价值观，赓续肇庆传统历史文化，大力繁荣文化事业，加快发展文化产业，不断提升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文化软实力和影响力。</w:t>
      </w:r>
    </w:p>
    <w:p w14:paraId="5AA844D4">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69" w:name="_Toc34002150"/>
      <w:bookmarkStart w:id="770" w:name="_Toc1480704611"/>
      <w:bookmarkStart w:id="771" w:name="_Toc421377014"/>
      <w:bookmarkStart w:id="772" w:name="_Toc18700"/>
      <w:bookmarkStart w:id="773" w:name="_Toc596439120"/>
      <w:bookmarkStart w:id="774" w:name="_Toc857410624"/>
      <w:bookmarkStart w:id="775" w:name="_Toc17983382"/>
      <w:bookmarkStart w:id="776" w:name="_Toc8732"/>
      <w:bookmarkStart w:id="777" w:name="_Toc25458"/>
      <w:bookmarkStart w:id="778" w:name="_Toc7379"/>
      <w:bookmarkStart w:id="779" w:name="_Toc514236037"/>
      <w:bookmarkStart w:id="780" w:name="_Toc20994"/>
      <w:bookmarkStart w:id="781" w:name="_Toc24486"/>
      <w:bookmarkStart w:id="782" w:name="_Toc1857520471"/>
      <w:bookmarkStart w:id="783" w:name="_Toc18056746"/>
      <w:bookmarkStart w:id="784" w:name="_Toc2755"/>
      <w:bookmarkStart w:id="785" w:name="_Toc8950"/>
      <w:bookmarkStart w:id="786" w:name="_Toc875731122"/>
      <w:bookmarkStart w:id="787" w:name="_Toc30943"/>
      <w:bookmarkStart w:id="788" w:name="_Toc19999322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第一节 </w:t>
      </w:r>
      <w:bookmarkEnd w:id="769"/>
      <w:bookmarkEnd w:id="770"/>
      <w:bookmarkEnd w:id="771"/>
      <w:bookmarkEnd w:id="772"/>
      <w:bookmarkEnd w:id="773"/>
      <w:bookmarkEnd w:id="774"/>
      <w:bookmarkEnd w:id="775"/>
      <w:bookmarkEnd w:id="776"/>
      <w:bookmarkEnd w:id="777"/>
      <w:bookmarkEnd w:id="778"/>
      <w:bookmarkEnd w:id="77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 弘扬和践行社会主义核心价值观</w:t>
      </w:r>
      <w:bookmarkEnd w:id="780"/>
      <w:bookmarkEnd w:id="781"/>
      <w:bookmarkEnd w:id="782"/>
      <w:bookmarkEnd w:id="783"/>
      <w:bookmarkEnd w:id="784"/>
      <w:bookmarkEnd w:id="785"/>
      <w:bookmarkEnd w:id="786"/>
      <w:bookmarkEnd w:id="787"/>
      <w:bookmarkEnd w:id="788"/>
    </w:p>
    <w:p w14:paraId="1044DB1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持价值引领、以文化人，扎实弘扬和践行社会主义核心价值观，建设崇德向善的文明城市，持续提高公民思想道德文化素养。</w:t>
      </w:r>
    </w:p>
    <w:p w14:paraId="04C6C3AF">
      <w:pPr>
        <w:widowControl w:val="0"/>
        <w:kinsoku/>
        <w:overflowPunct w:val="0"/>
        <w:autoSpaceDE/>
        <w:autoSpaceDN/>
        <w:adjustRightInd/>
        <w:snapToGrid/>
        <w:spacing w:line="58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社会主义核心价值观具象化、场景化。深化党的创新理论学习和宣传教育，坚持不懈用习近平新时代中国特色社会主义思想凝心铸魂。坚持以社会主义核心价值观为根本遵循和行动指南，以文化浸润、实践养成、制度保障为抓手，把社会主义核心价值观深度融入肇庆文化遗产保护传承、旅游景区开发建设、文旅产品创新供给等各环节各领域。</w:t>
      </w:r>
    </w:p>
    <w:p w14:paraId="71DA54A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着力建设崇德向善的文明城市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为民惠民，完善精神文明建设工作机制，建立符合实际的常态化创建模式，推动常态化文明创建提质扩面、向基层延伸。组织好全国文明城市市级评估，实施一对一助培计划，提升文明城市创建水平，加快推动创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文明城市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向建设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城市文明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转变，推动文明实践志愿服务活动在机关常态化开展。深入实施文明乡风建设工程，推动全市行政村全面推广运用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文明积分制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，加快百姓祠堂活化利用，深</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入</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挖掘并打造一批优秀村史馆。深入推进公民道德建设工程，全面推进新时代网络生态文明建设，推动人民道德水准和文明素养不断提高。坚持以培育和践行社会主义核心价值观为根本，加强和改进新时代未成年</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思想道德建设，开展针对青少年的思想政治教育和实践活动，着力培养时代新人。</w:t>
      </w:r>
    </w:p>
    <w:p w14:paraId="281FE2DB">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789" w:name="_Toc9759"/>
      <w:bookmarkStart w:id="790" w:name="_Toc1037814433"/>
      <w:bookmarkStart w:id="791" w:name="_Toc1109597299"/>
      <w:bookmarkStart w:id="792" w:name="_Toc1610985530"/>
      <w:bookmarkStart w:id="793" w:name="_Toc757704019"/>
      <w:bookmarkStart w:id="794" w:name="_Toc1350020899"/>
      <w:bookmarkStart w:id="795" w:name="_Toc28301"/>
      <w:bookmarkStart w:id="796" w:name="_Toc7973"/>
      <w:bookmarkStart w:id="797" w:name="_Toc22827"/>
      <w:bookmarkStart w:id="798" w:name="_Toc29305"/>
      <w:bookmarkStart w:id="799" w:name="_Toc2065808535"/>
      <w:bookmarkStart w:id="800" w:name="_Toc1736904728"/>
      <w:bookmarkStart w:id="801" w:name="_Toc10770"/>
      <w:bookmarkStart w:id="802" w:name="_Toc1825"/>
      <w:bookmarkStart w:id="803" w:name="_Toc1172234843"/>
      <w:bookmarkStart w:id="804" w:name="_Toc1952245405"/>
      <w:bookmarkStart w:id="805" w:name="_Toc871516306"/>
      <w:bookmarkStart w:id="806" w:name="_Toc701646680"/>
      <w:bookmarkStart w:id="807" w:name="_Toc550"/>
      <w:bookmarkStart w:id="808" w:name="_Toc2029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繁荣发展文化事业</w:t>
      </w:r>
      <w:bookmarkEnd w:id="789"/>
      <w:bookmarkEnd w:id="790"/>
      <w:bookmarkEnd w:id="791"/>
      <w:bookmarkEnd w:id="792"/>
      <w:bookmarkEnd w:id="793"/>
      <w:bookmarkEnd w:id="794"/>
      <w:bookmarkEnd w:id="795"/>
      <w:bookmarkEnd w:id="796"/>
      <w:bookmarkEnd w:id="797"/>
      <w:bookmarkEnd w:id="798"/>
      <w:bookmarkEnd w:id="799"/>
      <w:bookmarkEnd w:id="80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与产业</w:t>
      </w:r>
      <w:bookmarkEnd w:id="801"/>
      <w:bookmarkEnd w:id="802"/>
      <w:bookmarkEnd w:id="803"/>
      <w:bookmarkEnd w:id="804"/>
      <w:bookmarkEnd w:id="805"/>
      <w:bookmarkEnd w:id="806"/>
      <w:bookmarkEnd w:id="807"/>
      <w:bookmarkEnd w:id="808"/>
    </w:p>
    <w:p w14:paraId="40BC97B5">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坚持保护优先原则，推动历史文化遗产保护传承，推进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肇庆故事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广泛传播，促进文化产品供给升级、文化产业融合发展，助力文化事业产业繁荣发展。</w:t>
      </w:r>
    </w:p>
    <w:p w14:paraId="3B7A7DA8">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加强历史文化遗产保护传承。</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推动历史街区、历史地段修缮保护和活化提升，系统推进宋城整体保护和利用，推进历史名镇名村建设，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扎实推进创建广府文化（肇庆）生态保护区，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做好全域历史文化保护利用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。加强资源调查、记录和立档，健全国家、省、市、县四级代表性项目名录体系，推动肇庆古城墙城门遗址保护修缮工作，支持肇庆古城墙参与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中国明清城墙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项目申遗</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，支持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黄岩洞洞穴遗址、端石老坑洞遗址申报第九批全国重点文物保护单位，加快将星湖历史建筑、遗迹等列入城市更新范围，以全国重点文保单位</w:t>
      </w:r>
      <w:r>
        <w:rPr>
          <w:rFonts w:hint="eastAsia" w:ascii="Times New Roman" w:hAnsi="Times New Roman" w:eastAsia="方正仿宋_GBK"/>
          <w:snapToGrid/>
          <w:color w:val="000000" w:themeColor="text1"/>
          <w:kern w:val="21"/>
          <w:sz w:val="32"/>
          <w:szCs w:val="32"/>
          <w:lang w:eastAsia="zh-CN"/>
          <w14:textFill>
            <w14:solidFill>
              <w14:schemeClr w14:val="tx1"/>
            </w14:solidFill>
          </w14:textFill>
        </w:rPr>
        <w:t>七星岩</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摩崖石刻为牵引，推动文物资源的活化利用。抓好端砚文化保护传承与活化利用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，加快打造彰显中国文化特色的端砚文化群落。</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加强非物质文化遗产生产性保护和活态传承，深化挖掘肇庆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岭南画派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名家资源，推动传统粤剧艺术的</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普及与发展，活化传承裹蒸制作、端砚制作等非遗技艺</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推动</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四会玉雕、</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金利龙舟习俗</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等</w:t>
      </w:r>
      <w:r>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申报国家级非物质文化遗产保护项目。</w:t>
      </w:r>
    </w:p>
    <w:p w14:paraId="54794DF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肇庆故事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文化研究与传播。多层次打造广府特色文化IP，加大优秀故事挖掘和创作，打造一批肇庆特色广府文化手信。整合广府文</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化</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资源，策划开展非遗技艺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线上展播</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等活动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充分利用牌坊广场、紫荆西堤文创街区、骑楼街、阅江楼等文化地标，引进文化展览、展演活动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；推进龙母大剧院</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等文化项目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建设，开发沉浸式、体验式、互动式业态。</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开展多层次对外交流，依托South Zhaoqing（肇庆）频道，扩大</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肇庆故事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的传播力和影响力，进一步讲好中国式现代化的肇庆故事。</w:t>
      </w:r>
    </w:p>
    <w:p w14:paraId="03458475">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扩大优质文化产品供给。鼓励传统文化产业与现代创意相结合，深挖文物资源价值内涵和文化元素，推动文化创意产业发展。培育数字文旅及文化产业发展，创新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文化+旅游</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数字产品，开发府城数字体验项目，推动端砚、玉器、雄才、龙母、宋文化等文化遗产数字化。打造本土特色视听精品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推动肇庆岭南文化、西江风情等特色题材微短剧、微电影创作生产，加快打造大湾区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天然摄影棚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和微短剧影视拍摄基地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。优化演艺产品供给，推动星岩礼堂升级改造为专业演出场所，支持高校和有条件的县（市、区）打造标准化演艺阵地，持续拓展演艺空间，创排文旅剧目，排演“非遗小剧场”、小剧目展演等特色项目</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69D9231A">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bookmarkStart w:id="809" w:name="_Toc560920824"/>
      <w:bookmarkStart w:id="810" w:name="_Toc780782088"/>
      <w:bookmarkStart w:id="811" w:name="_Toc32383"/>
      <w:bookmarkStart w:id="812" w:name="_Toc1680762147"/>
      <w:bookmarkStart w:id="813" w:name="_Toc16390"/>
      <w:bookmarkStart w:id="814" w:name="_Toc19417"/>
      <w:bookmarkStart w:id="815" w:name="_Toc8540"/>
      <w:bookmarkStart w:id="816" w:name="_Toc27016"/>
      <w:bookmarkStart w:id="817" w:name="_Toc1951803921"/>
      <w:bookmarkStart w:id="818" w:name="_Toc792537503"/>
      <w:bookmarkStart w:id="819" w:name="_Toc1625342997"/>
      <w:bookmarkStart w:id="820" w:name="_Toc6897"/>
      <w:bookmarkStart w:id="821" w:name="_Toc19004"/>
      <w:bookmarkStart w:id="822" w:name="_Toc28826"/>
      <w:bookmarkStart w:id="823" w:name="_Toc457614780"/>
      <w:bookmarkStart w:id="824" w:name="_Toc6436"/>
      <w:bookmarkStart w:id="825" w:name="_Toc1865023232"/>
      <w:bookmarkStart w:id="826" w:name="_Toc185929307"/>
      <w:bookmarkStart w:id="827" w:name="_Toc38055722"/>
      <w:bookmarkStart w:id="828" w:name="_Toc51523496"/>
      <w:bookmarkStart w:id="829" w:name="_Toc24512"/>
      <w:bookmarkStart w:id="830" w:name="_Toc31984"/>
      <w:bookmarkStart w:id="831" w:name="_Toc813280119"/>
      <w:bookmarkStart w:id="832" w:name="_Toc3733"/>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百业”</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融合业态。推动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文旅+农业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融合发展，加快德庆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封开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县</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整县推进农文旅融合发展试点建设，规划建设广信文化展览馆、粤语文化展示馆等，因地制宜培育农文旅融合发展优质项目，大力发展乡村旅居、乡村数字化旅游产品。推动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文旅+工业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融合发展，结合科技型骨干企业、农业特色产业、重点实验室等领域，推出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观光工厂</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系列研学产品。推动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文旅+科技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融合发展，大力发展智慧旅游、智能导览、智能预订以及目的地智能交通等业态。推动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文旅+创意</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融合发展，推进公共文化服务、文化遗产单位和文旅企业跨界融合，将广府音乐、工艺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美术</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、中医中药、非遗民俗等文化元素融入旅游产品开发。</w:t>
      </w:r>
    </w:p>
    <w:p w14:paraId="5A958ECF">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深入实施文化惠民工程</w:t>
      </w:r>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p>
    <w:p w14:paraId="198E98C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加强公共文化服务设施建设，提升公共文化服务与产品供给质量水平，满足人民群众日益增长的精神文化需求。</w:t>
      </w:r>
    </w:p>
    <w:p w14:paraId="591870BC">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公共文化设施网络。有序推进文化设施提档升级，加强等级文博机构建设，完善和巩固市（县）级文化馆、图书馆总分馆制建设，推动农家书屋提质增效，因地制宜推动公共文化新空间、新型阅读空间等建设，推进书香社会建设，积极打造粤书吧、粤文坊、砚都书房、砚童书吧等文化服务品牌，优化公共文化设施空间和功能布局。</w:t>
      </w:r>
    </w:p>
    <w:p w14:paraId="5CF70B27">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推进文化设施数字化发展。推进公共文化场馆数字化发展，聚焦博物馆、图书馆、文化馆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、档案馆</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等核心公共文化场馆，推动VR、AR等新技术在公共文化设施的普及应用，开展虚拟讲解、艺术普及和交互体验等数字化服务。用好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文化广东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粤读通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文化在线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等平台，推动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公共</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文化服务智慧赋能。推动文旅资源数字化整合，建设智慧景区及文旅大数据平台，推动景区管理数字化。</w:t>
      </w:r>
    </w:p>
    <w:p w14:paraId="0DEAB47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加强公共文化产品供给。发挥县级文化馆、图书馆总分馆、服务点以及农家书屋的文化服务效能，整合并推动优质群众文化艺术、公共阅读等文化资源向基层延伸。贯彻实施《全民阅读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促进</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条例》，开展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全民阅读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周活动，深化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书香砚都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品牌建设。探索建立点单式公共文化服务机制，推动优质文化资源直达基层。鼓励和推动艺术创新，优先扶持反映肇庆特色的优秀文艺作品、微视频、短剧等题材。积极推动社会力量参与公共文化服务，丰富高品质公共文化产品供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0C3CF45B">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打造全时全季全境品牌活动。不断提升肇庆广府文化庙会、端砚文化嘉年华、环星湖蓝带啤酒嘉年华、肇庆马拉松、南国书香节肇庆分会场等活动吸引力。鼓励重点景点依托传统节日、节气开展各类文化旅游活动，形成全年文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活动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品牌。加快建立融媒体联盟机制，加强宣传推广。</w:t>
      </w:r>
    </w:p>
    <w:p w14:paraId="5F735CDC">
      <w:pPr>
        <w:widowControl w:val="0"/>
        <w:numPr>
          <w:ilvl w:val="255"/>
          <w:numId w:val="0"/>
        </w:numPr>
        <w:kinsoku/>
        <w:overflowPunct w:val="0"/>
        <w:autoSpaceDE/>
        <w:autoSpaceDN/>
        <w:adjustRightInd/>
        <w:snapToGrid/>
        <w:spacing w:before="156" w:beforeLines="50" w:after="156" w:afterLines="50" w:line="576"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33" w:name="_Toc291718520"/>
      <w:bookmarkStart w:id="834" w:name="_Toc1489151459"/>
      <w:bookmarkStart w:id="835" w:name="_Toc21485"/>
      <w:bookmarkStart w:id="836" w:name="_Toc13113"/>
      <w:bookmarkStart w:id="837" w:name="_Toc1759859501"/>
      <w:bookmarkStart w:id="838" w:name="_Toc29107"/>
      <w:bookmarkStart w:id="839" w:name="_Toc484044205"/>
      <w:bookmarkStart w:id="840" w:name="_Toc1493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全力建设大湾区文旅名城</w:t>
      </w:r>
      <w:bookmarkEnd w:id="83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、运动之城</w:t>
      </w:r>
      <w:bookmarkEnd w:id="833"/>
      <w:bookmarkEnd w:id="834"/>
      <w:bookmarkEnd w:id="835"/>
      <w:bookmarkEnd w:id="836"/>
      <w:bookmarkEnd w:id="837"/>
      <w:bookmarkEnd w:id="838"/>
      <w:bookmarkEnd w:id="839"/>
      <w:bookmarkEnd w:id="840"/>
    </w:p>
    <w:p w14:paraId="78768C3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以文塑旅、以体兴城，打造特色文旅品牌与运动场景，擦亮特色文旅体育名片。</w:t>
      </w:r>
    </w:p>
    <w:p w14:paraId="6FB8574E">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加快构建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三核三带八板块</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旅游大格局。优化升级旅游空间布局，依托七星岩、鼎湖山、府城等3个核心资源，将肇庆中心城区打造成为全市旅游集散中心和综合服务集聚区；加快建设西江旅游风光带、绥江旅游风光带、贺江旅游风光带等3个风光带，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美丽资源</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激活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美丽经济</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；发挥8个县（市、区）特色文旅资源优势，形成差异化发展大格局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，着力打造全国知名山水旅游胜地、岭南气派历史文化名城、粤港澳大湾区休闲度假大花园。</w:t>
      </w:r>
    </w:p>
    <w:p w14:paraId="5BDF87D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吃住行游购娱</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文旅要素供给体系。做强本土美食</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品牌</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培育“西江菜”，</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肇庆裹蒸、四会茶油鸡、广宁云吞、德庆竹篙粉等特色美食标准化、品牌化发展，开发文化主题餐饮，举办特色美食活动。丰富住宿业态，开展全市精品酒店（民宿）招商引资及资源推介活动，积极引入知名品牌酒店（民宿），鼓励民宿集群化、标准化、品牌化发展，提升住宿服务品质。完善内外联动的交通保障体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探索增开特色旅游专列与高铁专列，</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快进慢游</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精品旅游线路。打造多元旅游产品体系，开发特色研学、森林康养、休闲度假、户外拓展、温泉养生等产品，引入大型演艺、体育赛事，擦亮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肇庆特色</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旅游品牌，加快建设西江旅游风情带。综合运用信息化新技术，策划一批彰显龙母文化、孔子文化、包公文化等特色的全景沉浸式体验项目。丰富文创产品供给，深挖端砚文化、宋文化、包公文化等资源，设计服饰、文具、工艺品等文创产品，在景区、高铁站、酒店设立文创专卖店，搭建电商平台与新媒体推广矩阵。</w:t>
      </w:r>
    </w:p>
    <w:p w14:paraId="50023776">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优化完善体育基础设施。全面加强市、县级</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体育学校</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设，深化体教融合机制，强化竞技体育人才梯队建设。持续推进公共体育场馆运营提质，健全免费或低收费开放长效机制，提高场馆使用效率。加快专业赛事场馆升级改造，完善集赛事保障、文化展演、商业服务于一体的多功能配套设施，提升场馆综合运营效能。加快推进端州区体育公园等文体项目建设落地，推动体育设施向社区、乡村延伸，依托城市公园、老旧厂房、社区空地建设类型多样的体育健身场地设施；利用闲置土地、古村落周边空间建设体育公园、乡村健身广场，打造</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一村一品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健身场景。</w:t>
      </w:r>
    </w:p>
    <w:p w14:paraId="55DD6A7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积极发展体育产业。加快发展体育用品制造产业，支持制造商向培训、赛事等体育服务延伸。深度推进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体育+文旅</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体育+制造</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体育+康养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等多业态融合发展。鼓励有条件县（市、区）积极发展户外运动，积极谋划建设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肇庆市</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星湖水上运动目的地，打造集竞技赛事、大众体验、文旅研学、装备制造于一体的高质量户外运动目的地。积极发展体育经济，持续办好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肇马</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、铁人三项等品牌活动，争取承办更多高水平体育赛事，打造大湾区运动之城。</w:t>
      </w:r>
    </w:p>
    <w:p w14:paraId="27409B7F">
      <w:pPr>
        <w:widowControl w:val="0"/>
        <w:kinsoku/>
        <w:overflowPunct w:val="0"/>
        <w:autoSpaceDE/>
        <w:autoSpaceDN/>
        <w:adjustRightInd/>
        <w:snapToGrid/>
        <w:spacing w:line="2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59F97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071" w:type="dxa"/>
            <w:vAlign w:val="center"/>
          </w:tcPr>
          <w:p w14:paraId="36C89347">
            <w:pPr>
              <w:widowControl w:val="0"/>
              <w:kinsoku/>
              <w:overflowPunct w:val="0"/>
              <w:autoSpaceDE/>
              <w:autoSpaceDN/>
              <w:adjustRightInd/>
              <w:snapToGrid/>
              <w:spacing w:line="500" w:lineRule="exact"/>
              <w:jc w:val="center"/>
              <w:rPr>
                <w:rFonts w:ascii="Times New Roman" w:hAnsi="Times New Roman" w:eastAsia="方正小标宋简体"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w:t>
            </w:r>
            <w:r>
              <w:rPr>
                <w:rFonts w:ascii="Times New Roman" w:hAnsi="Times New Roman" w:eastAsia="方正小标宋简体" w:cs="Times New Roman"/>
                <w:snapToGrid/>
                <w:color w:val="000000" w:themeColor="text1"/>
                <w:spacing w:val="-6"/>
                <w:kern w:val="21"/>
                <w:sz w:val="32"/>
                <w:szCs w:val="32"/>
                <w14:textFill>
                  <w14:solidFill>
                    <w14:schemeClr w14:val="tx1"/>
                  </w14:solidFill>
                </w14:textFill>
              </w:rPr>
              <w:t>栏</w:t>
            </w:r>
            <w:r>
              <w:rPr>
                <w:rFonts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1</w:t>
            </w:r>
            <w:r>
              <w:rPr>
                <w:rFonts w:hint="eastAsia"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6</w:t>
            </w:r>
            <w:r>
              <w:rPr>
                <w:rFonts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spacing w:val="-6"/>
                <w:kern w:val="21"/>
                <w:sz w:val="32"/>
                <w:szCs w:val="32"/>
                <w14:textFill>
                  <w14:solidFill>
                    <w14:schemeClr w14:val="tx1"/>
                  </w14:solidFill>
                </w14:textFill>
              </w:rPr>
              <w:t>十</w:t>
            </w:r>
            <w:r>
              <w:rPr>
                <w:rFonts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五</w:t>
            </w:r>
            <w:r>
              <w:rPr>
                <w:rFonts w:ascii="Times New Roman" w:hAnsi="Times New Roman" w:eastAsia="方正小标宋简体" w:cs="Times New Roman"/>
                <w:snapToGrid/>
                <w:color w:val="000000" w:themeColor="text1"/>
                <w:spacing w:val="-6"/>
                <w:kern w:val="21"/>
                <w:sz w:val="32"/>
                <w:szCs w:val="32"/>
                <w14:textFill>
                  <w14:solidFill>
                    <w14:schemeClr w14:val="tx1"/>
                  </w14:solidFill>
                </w14:textFill>
              </w:rPr>
              <w:t>五</w:t>
            </w:r>
            <w:r>
              <w:rPr>
                <w:rFonts w:hint="eastAsia"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spacing w:val="-6"/>
                <w:kern w:val="21"/>
                <w:sz w:val="32"/>
                <w:szCs w:val="32"/>
                <w14:textFill>
                  <w14:solidFill>
                    <w14:schemeClr w14:val="tx1"/>
                  </w14:solidFill>
                </w14:textFill>
              </w:rPr>
              <w:t>时期</w:t>
            </w:r>
            <w:r>
              <w:rPr>
                <w:rFonts w:hint="eastAsia"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肇庆市</w:t>
            </w:r>
            <w:r>
              <w:rPr>
                <w:rFonts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文化</w:t>
            </w:r>
            <w:r>
              <w:rPr>
                <w:rFonts w:hint="eastAsia"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强市</w:t>
            </w:r>
            <w:r>
              <w:rPr>
                <w:rFonts w:ascii="Times New Roman" w:hAnsi="Times New Roman" w:eastAsia="方正小标宋简体" w:cs="Times New Roman"/>
                <w:snapToGrid/>
                <w:color w:val="000000" w:themeColor="text1"/>
                <w:spacing w:val="-6"/>
                <w:kern w:val="21"/>
                <w:sz w:val="32"/>
                <w:szCs w:val="32"/>
                <w:lang w:eastAsia="zh-CN"/>
                <w14:textFill>
                  <w14:solidFill>
                    <w14:schemeClr w14:val="tx1"/>
                  </w14:solidFill>
                </w14:textFill>
              </w:rPr>
              <w:t>建设重点方向与任务</w:t>
            </w:r>
          </w:p>
        </w:tc>
      </w:tr>
      <w:tr w14:paraId="185B8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71" w:type="dxa"/>
          </w:tcPr>
          <w:p w14:paraId="704F7B0A">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一、文化事业</w:t>
            </w:r>
          </w:p>
          <w:p w14:paraId="06B9B0CE">
            <w:pPr>
              <w:widowControl w:val="0"/>
              <w:kinsoku/>
              <w:overflowPunct w:val="0"/>
              <w:autoSpaceDE/>
              <w:autoSpaceDN/>
              <w:adjustRightInd/>
              <w:snapToGrid/>
              <w:spacing w:line="400" w:lineRule="exact"/>
              <w:ind w:firstLine="560" w:firstLineChars="200"/>
              <w:jc w:val="both"/>
              <w:rPr>
                <w:rFonts w:ascii="Times New Roman" w:hAnsi="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历史文化遗产保护利用：推动肇庆古城墙城门遗址保护修缮工作，推动肇庆古城墙参与“中国明清城墙”项目申遗、支持黄岩洞洞穴遗址、端石老坑洞遗址申报第九批全国重点文物保护单位；加快星湖历史建筑、遗迹等列入城市更新范围，以全国重点文物保护单位七星岩摩崖石刻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牵引</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推动文物资源的活化利用；完成肇庆古城墙修缮二期工程、梅庵保护修缮工程、七星岩摩崖石刻渗水防护工程等重点文物保护项目建设；推动端州区府前路、豪居路、阅江楼历史文化街区、朝天门等保护提升项目，加固修缮正东路、城中路、十字路区域内历史古建筑，完善相关片区配套旅游基础设施。加强肇庆市非物质文化遗产系统性保护工作，扎实推进广府文化（肇庆）生态保护区建设，全面提升肇庆市非物质文化遗产保护整体水平。</w:t>
            </w:r>
          </w:p>
          <w:p w14:paraId="6BCF4F53">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2.特色文化IP打造：深入挖掘广府文化、端砚文化、玉文化、包公文化</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龙母文化</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以及黎雄才文化</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等资源，系统梳理其历史脉络与当代价值，不断提升文化资源的活化利用水平，持续打造具有广泛影响力和持久生命力的文化IP，推动特色文化创造性转化和创新性发展。</w:t>
            </w:r>
          </w:p>
          <w:p w14:paraId="1879D951">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二、文化产业</w:t>
            </w:r>
          </w:p>
          <w:p w14:paraId="08175F5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深入挖掘肇庆市文化文物资源、非物质文化遗产项目及旅游资源潜力，深化与高等院校及文创机构的合作，研发推出一批彰显肇庆特色的文创产品。持续推进“肇庆有礼”文创品牌建设，重点推动端砚文化产业园项目、岭南文化创意产业园项目、“广府金绣”文化创意产业项目、四会玉器文化产业创意园、</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四会纸言纸语农文旅融合项目、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广宁竹博园等一批工艺美术类文化产业基地建设。指导文旅企业加强产品研发创新，着力开发兼具“特色性、观赏性、便携性、实用性、宣传性”的端砚、玉器、木雕、金饰、奇石等文化旅游工艺品，全面展现肇庆特色的地方文化内涵。</w:t>
            </w:r>
          </w:p>
          <w:p w14:paraId="58C62DAE">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三、文化设施</w:t>
            </w:r>
          </w:p>
          <w:p w14:paraId="4DC8374A">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完善公共文化设施网络：支持广东广电网络肇庆分公司加快建设4K超高清互动数字家庭网络，到2030年，4K超高清节目储备超过40000小时，4K超高清用户超过35万户，实现全市90%家庭可以收看4K电视节目，支持高要建设省广播电视基本公共服务县级标准化试点项目。</w:t>
            </w:r>
          </w:p>
          <w:p w14:paraId="4496DB2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2.文化设施数字化发展：</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强化数字文化资源融合，依托</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文化广东</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文化在线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等数字文化平台服务功能，整合全市图书馆、博物馆、文化馆等公共文化机构的数字资源，将其转化为优质数字文化产品，优化数字文化线上服务。</w:t>
            </w:r>
          </w:p>
          <w:p w14:paraId="0145B303">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公共文化产品供给：优化新型公共文化空间服务供给，推动新空间与文艺活动、非遗文化、旅游服务等功能融合，计划建设5个具有融合服务功能的公共文化新空间；推动“乐动湾区·肇庆剧场”演艺品牌、元魁塔·城市西客厅</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、四会图书馆新馆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项目进度；探索建立点单式公共文化服务机制，从搭建需求收集渠道、匹配服务资源、提供配送服务三个方面精准对接群众文化需求，推动文化资源和服务提质增效。</w:t>
            </w:r>
          </w:p>
          <w:p w14:paraId="3C683DAD">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4.文化活动打造：重点打造肇庆广府文化庙会、端砚文化嘉年华、环星湖蓝带啤酒嘉年华、非遗品牌龙狮大巡游</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春社、龙母诞</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贞仙诞文化旅游欢乐节</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茶油鸡美食嘉华</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碧海湾杯龙舟赛</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德庆</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县</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闹元宵、伍丁诞等品牌活动。</w:t>
            </w:r>
          </w:p>
          <w:p w14:paraId="5B8AF055">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四、文旅融合</w:t>
            </w:r>
          </w:p>
          <w:p w14:paraId="77FDD4FA">
            <w:pPr>
              <w:widowControl w:val="0"/>
              <w:kinsoku/>
              <w:overflowPunct w:val="0"/>
              <w:autoSpaceDE/>
              <w:autoSpaceDN/>
              <w:adjustRightInd/>
              <w:snapToGrid/>
              <w:spacing w:line="40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建设端州</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一江两岸三峡四塔</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、环两山（鼎湖山</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贞山）、鼎湖山东入口</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、西江旅游风情带</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高要西江画廊旅游度假区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金象山大峡谷旅游项目、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麓宿特色主题度假酒店（民宿）项目、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四会市贞山旅游度假区、四会市奇石河景区、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德庆县—封开县整县推进农文旅融合发展试点</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工程、</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怀集县中洲河河湾文旅项目、怀集县温泉资源开发项目、怀集县岳山温泉旅游度假区、怀集县唐煌古城农业生态观光园项目、鼎湖山国家级自然保护区科考馆（鼎湖山自然教育中心）项目、肇庆高新区“南山田园”、肇庆高新区大旺粮仓文创产业园、</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肇庆高新区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天径山低空经济产业区、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肇庆高新区</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龙湖水库休闲游船观光等项目。</w:t>
            </w:r>
          </w:p>
          <w:p w14:paraId="12303E58">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五、建设高水平体育强市</w:t>
            </w:r>
          </w:p>
          <w:p w14:paraId="6C5D842C">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1.体育基础设施建设：加快推进市体校提档升级工程、环肇庆百公里徒步线路项目、县级体育公园及全民健身中心项目建设；积极谋划</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建设</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肇庆市星湖水上运动目的地。</w:t>
            </w:r>
          </w:p>
          <w:p w14:paraId="6F80964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2.体育产业发展：加快培育体育健身休闲市场，培育发展健身休闲、竞赛表演、场馆服务、中介培训等体育服务业，努力打造一批优秀体育俱乐部和品牌赛事。</w:t>
            </w:r>
          </w:p>
          <w:p w14:paraId="237268F8">
            <w:pPr>
              <w:widowControl w:val="0"/>
              <w:kinsoku/>
              <w:overflowPunct w:val="0"/>
              <w:autoSpaceDE/>
              <w:autoSpaceDN/>
              <w:adjustRightInd/>
              <w:snapToGrid/>
              <w:spacing w:after="156" w:afterLines="50" w:line="400" w:lineRule="exact"/>
              <w:ind w:firstLine="560" w:firstLineChars="200"/>
              <w:jc w:val="both"/>
              <w:rPr>
                <w:rFonts w:ascii="Times New Roman" w:hAnsi="Times New Roman" w:eastAsia="宋体" w:cs="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3.特色赛事活动：重点打造肇庆马拉松、环大湾区西（肇庆）百公里骑行、中国“传奇”挑战赛（广东·肇庆）、星湖龙舟赛、高要金利传统龙舟大赛、鼎湖山100越野赛、砚阳湖铁人三项赛等特色品牌赛事活动。</w:t>
            </w:r>
          </w:p>
        </w:tc>
      </w:tr>
    </w:tbl>
    <w:p w14:paraId="0044DE93">
      <w:pPr>
        <w:pStyle w:val="8"/>
        <w:widowControl w:val="0"/>
        <w:kinsoku/>
        <w:overflowPunct w:val="0"/>
        <w:autoSpaceDE/>
        <w:autoSpaceDN/>
        <w:spacing w:after="0"/>
        <w:rPr>
          <w:rFonts w:ascii="Times New Roman" w:hAnsi="Times New Roman" w:eastAsia="方正仿宋_GBK"/>
          <w:snapToGrid/>
          <w:color w:val="000000" w:themeColor="text1"/>
          <w:kern w:val="21"/>
          <w:lang w:eastAsia="zh-CN"/>
          <w14:textFill>
            <w14:solidFill>
              <w14:schemeClr w14:val="tx1"/>
            </w14:solidFill>
          </w14:textFill>
        </w:rPr>
      </w:pPr>
    </w:p>
    <w:p w14:paraId="6317F783">
      <w:pPr>
        <w:numPr>
          <w:ilvl w:val="255"/>
          <w:numId w:val="0"/>
        </w:numPr>
        <w:kinsoku/>
        <w:autoSpaceDE/>
        <w:autoSpaceDN/>
        <w:adjustRightInd/>
        <w:snapToGrid/>
        <w:textAlignment w:val="auto"/>
        <w:rPr>
          <w:rFonts w:ascii="Times New Roman" w:hAnsi="Times New Roman" w:eastAsia="方正仿宋_GBK" w:cs="仿宋_GB2312"/>
          <w:snapToGrid/>
          <w:color w:val="000000" w:themeColor="text1"/>
          <w:kern w:val="21"/>
          <w:sz w:val="32"/>
          <w:lang w:eastAsia="zh-CN"/>
          <w14:textFill>
            <w14:solidFill>
              <w14:schemeClr w14:val="tx1"/>
            </w14:solidFill>
          </w14:textFill>
        </w:rPr>
      </w:pPr>
      <w:bookmarkStart w:id="841" w:name="_Toc2072148285"/>
      <w:bookmarkStart w:id="842" w:name="_Toc18396"/>
      <w:bookmarkStart w:id="843" w:name="_Toc27181"/>
      <w:bookmarkStart w:id="844" w:name="_Toc27546"/>
      <w:bookmarkStart w:id="845" w:name="_Toc201949415"/>
      <w:bookmarkStart w:id="846" w:name="_Toc1690861610"/>
      <w:bookmarkStart w:id="847" w:name="_Toc1157"/>
      <w:bookmarkStart w:id="848" w:name="_Toc128283522"/>
      <w:r>
        <w:rPr>
          <w:rFonts w:ascii="Times New Roman" w:hAnsi="Times New Roman" w:eastAsia="方正仿宋_GBK" w:cs="仿宋_GB2312"/>
          <w:snapToGrid/>
          <w:color w:val="000000" w:themeColor="text1"/>
          <w:kern w:val="21"/>
          <w:sz w:val="32"/>
          <w:lang w:eastAsia="zh-CN"/>
          <w14:textFill>
            <w14:solidFill>
              <w14:schemeClr w14:val="tx1"/>
            </w14:solidFill>
          </w14:textFill>
        </w:rPr>
        <w:br w:type="page"/>
      </w:r>
    </w:p>
    <w:p w14:paraId="3C7DFF4C">
      <w:pPr>
        <w:pStyle w:val="2"/>
        <w:adjustRightInd/>
        <w:snapToGrid/>
        <w:spacing w:beforeAutospacing="0" w:afterAutospacing="0" w:line="400" w:lineRule="exact"/>
        <w:rPr>
          <w:rFonts w:hint="default" w:ascii="Times New Roman" w:hAnsi="Times New Roman" w:cs="宋体"/>
          <w:b w:val="0"/>
        </w:rPr>
      </w:pPr>
    </w:p>
    <w:p w14:paraId="6A85B41E">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第十四章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促进教育均衡发展</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，加快</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发展</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教育</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事业</w:t>
      </w:r>
      <w:bookmarkEnd w:id="841"/>
      <w:bookmarkEnd w:id="842"/>
      <w:bookmarkEnd w:id="843"/>
      <w:bookmarkEnd w:id="844"/>
      <w:bookmarkEnd w:id="845"/>
      <w:bookmarkEnd w:id="846"/>
      <w:bookmarkEnd w:id="847"/>
      <w:bookmarkEnd w:id="848"/>
    </w:p>
    <w:p w14:paraId="6E92EEF6">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p>
    <w:p w14:paraId="053B20F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坚持以人民为中心发展教育，办好人民满意的教育，健全与人口变化相适应的教育资源配置机制，持续提升教育公共服务水平，以教育现代化有力支撑肇庆现代化建设。</w:t>
      </w:r>
    </w:p>
    <w:p w14:paraId="3C03F240">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49" w:name="_Toc27748"/>
      <w:bookmarkStart w:id="850" w:name="_Toc16969"/>
      <w:bookmarkStart w:id="851" w:name="_Toc1888273748"/>
      <w:bookmarkStart w:id="852" w:name="_Toc784096281"/>
      <w:bookmarkStart w:id="853" w:name="_Toc8469"/>
      <w:bookmarkStart w:id="854" w:name="_Toc2143893897"/>
      <w:bookmarkStart w:id="855" w:name="_Toc19612"/>
      <w:bookmarkStart w:id="856" w:name="_Toc126821090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落实立德树人根本任务</w:t>
      </w:r>
      <w:bookmarkEnd w:id="849"/>
      <w:bookmarkEnd w:id="850"/>
      <w:bookmarkEnd w:id="851"/>
      <w:bookmarkEnd w:id="852"/>
      <w:bookmarkEnd w:id="853"/>
      <w:bookmarkEnd w:id="854"/>
      <w:bookmarkEnd w:id="855"/>
      <w:bookmarkEnd w:id="856"/>
    </w:p>
    <w:p w14:paraId="43AC42A8">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加强党对教育工作的全面领导，全面落实立德树人根本任务，加强思政育人体系建设，促进学生德智体美劳全面发展。</w:t>
      </w:r>
    </w:p>
    <w:p w14:paraId="35ADA898">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推进大中小学思政课一体化建设。坚持不懈用习近平新时代中国特色社会主义思想铸魂育人，持续推动进教材、进课堂、进头脑。</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推进大中小学思政课一体化改革创新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，推动课程思政各学段全覆盖，探索适配学段的教学方式，</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打造具有肇庆特色的</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大思政课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品牌</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构建协同教研机制，建立大中小学思政课共享机制，搭建常态化教研平台，提升思政课教师队伍整体水平。加强教育系统基层党组织建设，发挥党员教师在思政课教学中的先锋模范作用，组建“党员思政骨干教师宣讲队”，开发本土思政资源、开展跨学段教研。创新开展网络思想政治教育，拓宽网络育人阵地。推动学生在乡土文化、生态科普、职业技能的实践中成长，拓展实践育人阵地。</w:t>
      </w:r>
    </w:p>
    <w:p w14:paraId="28DF507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全面提升学生综合素质。将立德树人要求融入德智体美劳各领域，培养德智体美劳全面发展的社会主义建设者和接班人。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推进素质教育体系深化改革，坚持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五育并举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，建立健全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五育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教育体系。</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学生认知能力、创新能力、合作能力、职业能力等关键能力培养，增强学生文明素养、社会责任意识和实践本领。完善立德树人系统化落实机制，实施好德育课程，强化德育网络阵地建设，教育引导学生全面理解、正确对待重大理论和社会热点问题。提升学生智育水平，支持教师结合学校特色、学生特点、教学个性等因素进行课堂教学创新。强化体育与健康素养培育，实施学生体质强健计划。提升美育与文化素养，开齐、开足、上好美育课，继续深化推进高雅艺术、艺术展演活动和戏曲、诗歌、书法活动的开展，将端砚雕刻、广宁竹编等非遗技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融入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校本课程，强化学校美育育人功能。大力加强劳动教育，加快劳动教育实践场所建设，组织学生参与社会公益劳动和志愿服务。提高中小学生心理健康工作水平，建立健全学生心理健康监测预警体系，推进心理健康服务网络建设。</w:t>
      </w:r>
    </w:p>
    <w:p w14:paraId="0B3B410A">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57" w:name="_Toc315"/>
      <w:bookmarkStart w:id="858" w:name="_Toc9094"/>
      <w:bookmarkStart w:id="859" w:name="_Toc504282749"/>
      <w:bookmarkStart w:id="860" w:name="_Toc1908455866"/>
      <w:bookmarkStart w:id="861" w:name="_Toc1072952130"/>
      <w:bookmarkStart w:id="862" w:name="_Toc12469"/>
      <w:bookmarkStart w:id="863" w:name="_Toc1645937216"/>
      <w:bookmarkStart w:id="864" w:name="_Toc1744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促进基础教育提质发展</w:t>
      </w:r>
      <w:bookmarkEnd w:id="857"/>
      <w:bookmarkEnd w:id="858"/>
      <w:bookmarkEnd w:id="859"/>
      <w:bookmarkEnd w:id="860"/>
      <w:bookmarkEnd w:id="861"/>
      <w:bookmarkEnd w:id="862"/>
      <w:bookmarkEnd w:id="863"/>
      <w:bookmarkEnd w:id="864"/>
    </w:p>
    <w:p w14:paraId="18DC9DE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优化基础教育资源配置，改善各级各类学校办学条件，切实促进教育公平公正，全面提升教育质量与育人效能。</w:t>
      </w:r>
    </w:p>
    <w:p w14:paraId="2B8430B3">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学前教育扩优提质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促进学前教育普及普惠，进一步扩大公办学位供给，推动公办园在园幼儿占比力争达60%，培育7个以上省级高质量幼儿园共同体，提升保教质量，力争到2027年全部县（市、区）达到学前教育普及普惠县评估标准。创新供给方式，坚持以政府举办为主，大力拓展普惠性学前教育资源</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推进多种形式的集团化办园，发展学前教育共同体，提升全市幼儿园保教质量。完善科学的幼小衔接机制，推动幼儿园和小学双向协同、有效衔接</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p w14:paraId="4E2A259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促进义务教育优质均衡发展。重点聚焦东部城区、西部县城和经济发展主战场等人口流入地，做好教育资源调配。加强义务教育学校标准化建设，改善薄弱学校、农村学校办学条件，不断缩小区域内办学条件和水平差距。加强乡镇公办寄宿制学校建设，提升寄宿制学校办学条件和管理水平，办好必要的乡村小规模学校。提升义务教育质量，深入推进集团化办学，发挥优质学校辐射带动作用，健全教师交流轮岗制度，优化结对帮扶工作，建设城乡教育共同体。严格规范学校办学和校外培训行为，切实减轻义务教育阶段学生作业负担和校外培训负担。切实加强未成年人控辍保学工作，深入推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扶苗</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专项行动，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帮助“问题少年”相对集中开展行为矫正、接受适用性教育，</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全力保障适龄儿童少年入学权利。</w:t>
      </w:r>
    </w:p>
    <w:p w14:paraId="4B6CC95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普通高中攻坚提质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入实施公办高中学位攻坚行动，推动肇庆市第一中学高质量发展改造项目、肇庆市端州中学高中扩容提质建设工程、肇庆中学金利学校等项目建设，通过内部挖潜、新改扩建、学段结构调整等方式增加公办高中学位</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深入实施县中</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振兴计划</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，突出办好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龙头</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县中，增加优质高中资源供给，推进</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高中学校</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扩容提质、</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补短板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等</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项目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。扎实推动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双百行动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，深化与市外优质学校的合作，通过派驻专家团队、共享教研成果、联合开发课程等方式，提高县中教育质量。办好办强市属高中，推进扩容提质、人才强教、教学改革、治理创新，探索建立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初中</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高中</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高校</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衔接培养体系。推动高中教育内涵式发展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依托肇庆产业特色与文化资源，打造一批艺术、体育、科学等特色高中。</w:t>
      </w:r>
    </w:p>
    <w:p w14:paraId="1007D698">
      <w:pPr>
        <w:widowControl w:val="0"/>
        <w:kinsoku/>
        <w:overflowPunct w:val="0"/>
        <w:autoSpaceDE/>
        <w:autoSpaceDN/>
        <w:adjustRightInd/>
        <w:snapToGrid/>
        <w:spacing w:line="60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促进特殊教育优质融合发展。完善特殊教育布局和体系，推进肇庆市特殊教育学校建设，健全特殊教育师资、经费、设备保障机制。持续推进特殊教育集团化办学，全面提升特殊教育保障能力。加强医教结合、康教结合，积极构建适合残疾儿童少年终身发展需求的课程体系。</w:t>
      </w:r>
    </w:p>
    <w:p w14:paraId="7CC09A8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专门教育建设。系统规划专门学校空间布局，加快推进专门学校建设，优先利用现有基础推动改造扩容。推进公办专门学校完善心理、法治等相关功能场室建设。规范管理民办专门学校。加强专门教育的课程与师资队伍建设，建立健全未成年人罪错行为教育矫治体系。</w:t>
      </w:r>
    </w:p>
    <w:p w14:paraId="7231A6A6">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65" w:name="_Toc1924460265"/>
      <w:bookmarkStart w:id="866" w:name="_Toc946690189"/>
      <w:bookmarkStart w:id="867" w:name="_Toc24267"/>
      <w:bookmarkStart w:id="868" w:name="_Toc14774"/>
      <w:bookmarkStart w:id="869" w:name="_Toc2076543579"/>
      <w:bookmarkStart w:id="870" w:name="_Toc1732866903"/>
      <w:bookmarkStart w:id="871" w:name="_Toc30774"/>
      <w:bookmarkStart w:id="872" w:name="_Toc250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提升高等教育和职业教育办学质量</w:t>
      </w:r>
      <w:bookmarkEnd w:id="865"/>
      <w:bookmarkEnd w:id="866"/>
      <w:bookmarkEnd w:id="867"/>
      <w:bookmarkEnd w:id="868"/>
      <w:bookmarkEnd w:id="869"/>
      <w:bookmarkEnd w:id="870"/>
      <w:bookmarkEnd w:id="871"/>
      <w:bookmarkEnd w:id="872"/>
    </w:p>
    <w:p w14:paraId="2ECCE43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推动高校扩容提质、优化学科专业布局，加快构建职普融通、产教融合的职业教育体系。</w:t>
      </w:r>
    </w:p>
    <w:p w14:paraId="29F212FA">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高等教育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发展。扩大高等教育办学规模，落实高等教育“迎峰计划”，</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积极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引进“</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双一流</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大学等</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优质高校在肇建设新校区；推动肇庆职教城、肇庆医学院新校区二期建设，推进广东理工学院、广东工商职业技术大学、广州应用科技学院肇庆校区、华南农业大学珠江学院肇庆（四会）校区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广东亚视演艺职业学院等扩容提质项目建设。支持肇庆学院、肇庆医学院实施“冲一流、补短板、强特色”提升计划，推进博士学位点建设工作，持续提升办学水平和规模。支持高校围绕高鼎端科教创新走廊规划建设要求，立足“肇庆所需、高校所能”，赋能地方经济社会发展。聚焦产业需求，加强特色学科建设与学科专业设置调整，构建适应粤港澳大湾区产业转型升级需求的专业课程体系。</w:t>
      </w:r>
    </w:p>
    <w:p w14:paraId="4F7F7E5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加快中职教育提质培优。</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推动中职学校进一步改善办学条件，扩大中等职业教育优质学位供给，支持肇庆市工业贸易学校、肇庆市技师学院等一批中职（技工）院校提质升级，支持肇庆市农业学校等一批优质中职学校争创</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双优</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支持一批优秀县域中职创建省级优质县域中职。完善职业教育体系，支持中职学校对接高校逐步扩大贯通培养试点规模，加快建设市属公办综合性高等职业学院，畅通职业教育升学渠道。深化高中教育阶段职普融通，鼓励办学条件达标的中等职业学校申报综合高中试点。深化产教融合，大力推行</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订单式</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、现代学徒制等校企合作育人模式，鼓励职业院校与企业联合建设专业教学、虚拟仿真等实训基地。</w:t>
      </w:r>
    </w:p>
    <w:p w14:paraId="28872A27">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73" w:name="_Toc1553306457"/>
      <w:bookmarkStart w:id="874" w:name="_Toc23150"/>
      <w:bookmarkStart w:id="875" w:name="_Toc28632"/>
      <w:bookmarkStart w:id="876" w:name="_Toc2971"/>
      <w:bookmarkStart w:id="877" w:name="_Toc26868"/>
      <w:bookmarkStart w:id="878" w:name="_Toc59586911"/>
      <w:bookmarkStart w:id="879" w:name="_Toc2026774851"/>
      <w:bookmarkStart w:id="880" w:name="_Toc168719502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全面加强教师队伍建设</w:t>
      </w:r>
      <w:bookmarkEnd w:id="873"/>
      <w:bookmarkEnd w:id="874"/>
      <w:bookmarkEnd w:id="875"/>
      <w:bookmarkEnd w:id="876"/>
      <w:bookmarkEnd w:id="877"/>
      <w:bookmarkEnd w:id="878"/>
      <w:bookmarkEnd w:id="879"/>
      <w:bookmarkEnd w:id="880"/>
    </w:p>
    <w:p w14:paraId="6B5A9E9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加强新时代教师发展体系建设，提升教师队伍素质，满足教育高质量发展需要。</w:t>
      </w:r>
    </w:p>
    <w:p w14:paraId="1442AC9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w:t>
      </w:r>
      <w:r>
        <w:rPr>
          <w:rFonts w:hint="eastAsia"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t>强师德师风建设。健全教师政治理论学习制度，通过思政课一体化共同体、“大思政课”实践教学基地，筑牢教师育人使命，加强教师队伍建设，培育新时代“四有”好老师。健全常态化师德师风教育与监督长效机制，完善师德考评实施办法，执行负面清单制度，推动师德师风建设制度化、常态化、长效化。</w:t>
      </w:r>
    </w:p>
    <w:p w14:paraId="0145C4BD">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提高教师专业素质能力。深入实施“新强师工程”和中小学“百千万人才培养工程”，分层分类培育教育骨干力量。</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推进职业教育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双师型</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教师建设，落实中职学校教师到行业、企业一线参加生产实践的要求。加强乡村教师培训，提升乡村教师能力素质。提升师生数字素养，实施数字化赋能教师发展行动，推动教师积极应对新技术变革。加强教师心理健康</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保障，定期开展心理健康专题培训和团体辅导。探索建立家校矛盾平台多元解纷机制，营造和谐融洽的家校共育环境。</w:t>
      </w:r>
    </w:p>
    <w:p w14:paraId="00ACE0B8">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优化教师管理和资源配置。根据学龄人口变化及教育教学改革发展需求，</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优化各级各类学校师生配比，加强教育人才队伍建设，探索优秀退役军人到中小学任教，培育一批省级县中头雁教师，辐射带动县中教师队伍建设。完善高校教师聘用机制，优化中小学教师</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县管校聘</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管理机制。推行分类评价，探索长周期评价，完善绩效工资结构体系和实施办法，健全课时工作量、工作实绩、岗位贡献等相衔接的分配制度。</w:t>
      </w:r>
    </w:p>
    <w:p w14:paraId="5ED35F86">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81" w:name="_Toc29243"/>
      <w:bookmarkStart w:id="882" w:name="_Toc109024199"/>
      <w:bookmarkStart w:id="883" w:name="_Toc446980811"/>
      <w:bookmarkStart w:id="884" w:name="_Toc1306248013"/>
      <w:bookmarkStart w:id="885" w:name="_Toc27940"/>
      <w:bookmarkStart w:id="886" w:name="_Toc14868"/>
      <w:bookmarkStart w:id="887" w:name="_Toc849441737"/>
      <w:bookmarkStart w:id="888" w:name="_Toc370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加强校园安全防范</w:t>
      </w:r>
      <w:bookmarkEnd w:id="881"/>
      <w:bookmarkEnd w:id="882"/>
      <w:bookmarkEnd w:id="883"/>
      <w:bookmarkEnd w:id="884"/>
      <w:bookmarkEnd w:id="885"/>
      <w:bookmarkEnd w:id="886"/>
      <w:bookmarkEnd w:id="887"/>
    </w:p>
    <w:p w14:paraId="66EAFB1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以守护师生生命安全为底线，全面筑牢校园安全防护体系，为教育高质量发展提供坚实安全保障。</w:t>
      </w:r>
    </w:p>
    <w:p w14:paraId="3498E35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深入开展涉校安全隐患排查整治。聚焦突出问题、重点部位和薄弱环节，逐一检查校园“三防”设施达标、安全管理制度、安全防范措施等落实情况，对城乡接合部、农村地区中小学和幼儿园要加大检查频次，确保全覆盖、无死角。建立健全风险隐患清单，逐一落实整改措施、时限和责任，做到闭环整改、动态清零。强化防溺水安全教育，坚决遏制溺水事故发生。</w:t>
      </w:r>
    </w:p>
    <w:p w14:paraId="79293C0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快推进校园安全防范能力建设。抓实校园交通安全管理，规范校园门口上下学时段交通秩序，保障师生出入安全。加强校园及周边治安防护，将学生较为集中的“托管点”“小饭桌”及周边纳入网格化巡逻防控体系，提高巡逻密度和频次，防止发生问题。强化校园食品安全保障，定期开展食品安全专项检查与抽检，严厉打击不合格食品流入校园。</w:t>
      </w:r>
    </w:p>
    <w:p w14:paraId="44759629">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889" w:name="_Toc3501"/>
      <w:bookmarkStart w:id="890" w:name="_Toc2050854144"/>
      <w:bookmarkStart w:id="891" w:name="_Toc620"/>
      <w:bookmarkStart w:id="892" w:name="_Toc1671062851"/>
      <w:bookmarkStart w:id="893" w:name="_Toc519158554"/>
      <w:bookmarkStart w:id="894" w:name="_Toc10509"/>
      <w:bookmarkStart w:id="895" w:name="_Toc179086836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第六节  大力深化教育综合改革</w:t>
      </w:r>
      <w:bookmarkEnd w:id="888"/>
      <w:bookmarkEnd w:id="889"/>
      <w:bookmarkEnd w:id="890"/>
      <w:bookmarkEnd w:id="891"/>
      <w:bookmarkEnd w:id="892"/>
      <w:bookmarkEnd w:id="893"/>
      <w:bookmarkEnd w:id="894"/>
      <w:bookmarkEnd w:id="895"/>
    </w:p>
    <w:p w14:paraId="051430A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以教育综合改革破解发展短板，优化资源配置、创新育人模式，让优质教育惠及城乡学子。</w:t>
      </w:r>
    </w:p>
    <w:p w14:paraId="3BAE77C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深化新时代教育评价改革。建立科学多元评价体系，强化评价结果应用，建立评价反馈机制，推动教育教学工作提质增效。推进学校评价改革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坚持把立德树人成效作为根本标准，坚决克服重智育轻德育、重分数轻素质等片面办学行为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，提升教育教学质量。</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推进教师评价改革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坚持把师德师风作为第一标准，坚决克服重科研轻教学、重教书轻育人等现象，树立高校教师科研评价正确导向，完善评价标准。推进学生评价改革，分学段、分类型研究制定中小学、中职学校学生综合素质评价标准，完善德智体美劳评价体系。</w:t>
      </w:r>
    </w:p>
    <w:p w14:paraId="2F0F6BA5">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深化办学体制和管理体制改革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深化教育资源统筹配置改革，推进高中学位资源配置改革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，推动优质教育资源覆盖面不断扩大</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，持续推进集团化办学、城乡教育共同体建设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破解制约教师交流轮岗的制度障碍，促进校长教师合理流动。积极稳妥推进考试招生制度改革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深化中考改革，严厉查处违规招生行为。深化教育管理体制改革，建立健全教育质量监测与评估体系，推进教育政务服务信息化、数字化，提高教育服务水平。</w:t>
      </w:r>
    </w:p>
    <w:p w14:paraId="2C071456">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仿宋_GB2312"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教育治理现代化水平。落实民办教育学校分类管理，引导、推动民办教育学校优化内部管理制度体系，提升学校治理能力与水平。深化新时代教育督导体制机制改革，优化管理体制、完善运行机制、加强队伍建设、强化结果运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。推进基础教育课程教学改革，推动新技术与教育教学融合应用，</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加快推广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人工智能+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教育应用和实践</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。增强家庭学校社会协同育人合力，着力营造良好的教育生态。推动继续教育发展，</w:t>
      </w:r>
      <w:r>
        <w:rPr>
          <w:rFonts w:ascii="Times New Roman" w:hAnsi="Times New Roman" w:eastAsia="方正仿宋_GBK" w:cs="Times New Roman"/>
          <w:color w:val="333333"/>
          <w:sz w:val="32"/>
          <w:szCs w:val="32"/>
          <w:shd w:val="clear" w:color="auto" w:fill="FFFFFF"/>
          <w:lang w:eastAsia="zh-CN" w:bidi="ar"/>
        </w:rPr>
        <w:t>构建全民终身学习体系，丰富终身学习资源供给，建设学习型社会</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2B7B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071" w:type="dxa"/>
            <w:tcBorders>
              <w:bottom w:val="single" w:color="auto" w:sz="4" w:space="0"/>
            </w:tcBorders>
            <w:vAlign w:val="center"/>
          </w:tcPr>
          <w:p w14:paraId="564C4091">
            <w:pPr>
              <w:pStyle w:val="8"/>
              <w:widowControl w:val="0"/>
              <w:kinsoku/>
              <w:overflowPunct w:val="0"/>
              <w:autoSpaceDE/>
              <w:autoSpaceDN/>
              <w:adjustRightInd/>
              <w:snapToGrid/>
              <w:spacing w:after="0" w:line="500" w:lineRule="exact"/>
              <w:jc w:val="center"/>
              <w:rPr>
                <w:rFonts w:ascii="Times New Roman" w:hAnsi="Times New Roman"/>
                <w:snapToGrid/>
                <w:color w:val="000000" w:themeColor="text1"/>
                <w:kern w:val="21"/>
                <w:sz w:val="32"/>
                <w:szCs w:val="32"/>
                <w14:textFill>
                  <w14:solidFill>
                    <w14:schemeClr w14:val="tx1"/>
                  </w14:solidFill>
                </w14:textFill>
              </w:rPr>
            </w:pPr>
            <w:r>
              <w:rPr>
                <w:rFonts w:ascii="Times New Roman" w:hAnsi="Times New Roman" w:eastAsia="方正小标宋简体"/>
                <w:snapToGrid/>
                <w:color w:val="000000" w:themeColor="text1"/>
                <w:kern w:val="21"/>
                <w:sz w:val="32"/>
                <w:szCs w:val="32"/>
                <w14:textFill>
                  <w14:solidFill>
                    <w14:schemeClr w14:val="tx1"/>
                  </w14:solidFill>
                </w14:textFill>
              </w:rPr>
              <w:t>专栏</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1</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7</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snapToGrid/>
                <w:color w:val="000000" w:themeColor="text1"/>
                <w:kern w:val="21"/>
                <w:sz w:val="32"/>
                <w:szCs w:val="32"/>
                <w14:textFill>
                  <w14:solidFill>
                    <w14:schemeClr w14:val="tx1"/>
                  </w14:solidFill>
                </w14:textFill>
              </w:rPr>
              <w:t>十</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snapToGrid/>
                <w:color w:val="000000" w:themeColor="text1"/>
                <w:kern w:val="21"/>
                <w:sz w:val="32"/>
                <w:szCs w:val="32"/>
                <w14:textFill>
                  <w14:solidFill>
                    <w14:schemeClr w14:val="tx1"/>
                  </w14:solidFill>
                </w14:textFill>
              </w:rPr>
              <w:t>时期</w:t>
            </w:r>
            <w:r>
              <w:rPr>
                <w:rFonts w:hint="eastAsia" w:ascii="Times New Roman" w:hAnsi="Times New Roman" w:eastAsia="方正小标宋简体"/>
                <w:snapToGrid/>
                <w:color w:val="000000" w:themeColor="text1"/>
                <w:kern w:val="21"/>
                <w:sz w:val="32"/>
                <w:szCs w:val="32"/>
                <w:lang w:eastAsia="zh-CN"/>
                <w14:textFill>
                  <w14:solidFill>
                    <w14:schemeClr w14:val="tx1"/>
                  </w14:solidFill>
                </w14:textFill>
              </w:rPr>
              <w:t>肇庆市教育领域</w:t>
            </w:r>
            <w:r>
              <w:rPr>
                <w:rFonts w:ascii="Times New Roman" w:hAnsi="Times New Roman" w:eastAsia="方正小标宋简体"/>
                <w:snapToGrid/>
                <w:color w:val="000000" w:themeColor="text1"/>
                <w:kern w:val="21"/>
                <w:sz w:val="32"/>
                <w:szCs w:val="32"/>
                <w:lang w:eastAsia="zh-CN"/>
                <w14:textFill>
                  <w14:solidFill>
                    <w14:schemeClr w14:val="tx1"/>
                  </w14:solidFill>
                </w14:textFill>
              </w:rPr>
              <w:t>重点项目</w:t>
            </w:r>
          </w:p>
        </w:tc>
      </w:tr>
      <w:tr w14:paraId="3BAE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71" w:type="dxa"/>
            <w:tcBorders>
              <w:top w:val="single" w:color="auto" w:sz="4" w:space="0"/>
              <w:left w:val="single" w:color="auto" w:sz="4" w:space="0"/>
              <w:bottom w:val="single" w:color="auto" w:sz="4" w:space="0"/>
              <w:right w:val="single" w:color="auto" w:sz="4" w:space="0"/>
            </w:tcBorders>
          </w:tcPr>
          <w:p w14:paraId="0E958D5C">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一、基础教育工程</w:t>
            </w:r>
          </w:p>
          <w:p w14:paraId="2D839FFF">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宣卿中学高中部扩容提质项目、广东肇庆中学扩容提质项目、肇庆市东部城区（紫云片区、大型产业集聚区）教育扩容提质项目、肇庆市东部城区核心区普及高水平教育扩容提质项目（鼎湖区）、肇庆市端州中学高中扩容提质建设工程、肇庆市第一中学高中学位扩容建设项目、肇庆中学金利学校及幼儿园项目、高要区普通高中多样化特色发展项目、高要区紫云新城高中学校及幼儿园项目、高要区江滨新城高中学校及幼儿园项目、高要区学前教育普及普惠提质项目、高要区寄宿制学校提质扩容工程、高要区中小学校高质量发展项目、四会市城区中学发展提升项目、四会市第三高中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四会市大沙富溪学校项目、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广宁县广宁中学城南学校（高中部）项目、广宁县普通高中发展提升项目、德庆县香山中学提质扩容项目、德庆县孔子学校南校区项目、封开县高中阶段学校基础设施补短板项目、封开县南丰镇九年一贯制中小学项目、怀集县城区中学扩容提质发展提升项目、怀集县冷坑中学新建综合楼项目、怀集县梁村镇中心小学教学楼改扩建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23393567">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二、高等教育工程</w:t>
            </w:r>
          </w:p>
          <w:p w14:paraId="1FFE1D2D">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肇庆职教城二三期建设项目、肇庆学院西区学生公寓项目、肇庆医学院新区校区二期建设项目、广东理工学院（高要校区）建设项目、广州应用科技学院科技园和产业园项目、华南农业大学珠江学院</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四会</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校区三期项目、广东亚视演艺学院校区建设项目、德庆龙母大剧院项目、广东肇庆航空职业学院二期项目、肇庆医学院</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医教融合</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产学研基地项目。</w:t>
            </w:r>
          </w:p>
          <w:p w14:paraId="3101BDB6">
            <w:pPr>
              <w:widowControl w:val="0"/>
              <w:kinsoku/>
              <w:overflowPunct w:val="0"/>
              <w:autoSpaceDE/>
              <w:autoSpaceDN/>
              <w:adjustRightInd/>
              <w:snapToGrid/>
              <w:spacing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三、职业教育工程</w:t>
            </w:r>
          </w:p>
          <w:p w14:paraId="146C6373">
            <w:pPr>
              <w:widowControl w:val="0"/>
              <w:kinsoku/>
              <w:overflowPunct w:val="0"/>
              <w:autoSpaceDE/>
              <w:autoSpaceDN/>
              <w:adjustRightInd/>
              <w:snapToGrid/>
              <w:spacing w:line="38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新建或引进公办高等职业学院、广东工商职业技术大学东侧新建项目、广东工商职业技术大学教学实训大楼项目、广东体育职业技术学院肇庆校区、广东艺术职业学院肇庆校区、肇庆市工业贸易学校扩容提质项目、怀集县职业技术学校新扩建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Hans"/>
                <w14:textFill>
                  <w14:solidFill>
                    <w14:schemeClr w14:val="tx1"/>
                  </w14:solidFill>
                </w14:textFill>
              </w:rPr>
              <w:t>新校区建设</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Hans"/>
                <w14:textFill>
                  <w14:solidFill>
                    <w14:schemeClr w14:val="tx1"/>
                  </w14:solidFill>
                </w14:textFill>
              </w:rPr>
              <w:t>改扩建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、肇庆市商务技工学校扩容提质工程、广东环境保护工程职业学院肇庆校区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、肇庆高新区新能源职业学校项目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p w14:paraId="0504E076">
            <w:pPr>
              <w:pStyle w:val="8"/>
              <w:widowControl w:val="0"/>
              <w:kinsoku/>
              <w:overflowPunct w:val="0"/>
              <w:autoSpaceDE/>
              <w:autoSpaceDN/>
              <w:adjustRightInd/>
              <w:snapToGrid/>
              <w:spacing w:after="0"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四、特殊教育、专门教育工程</w:t>
            </w:r>
          </w:p>
          <w:p w14:paraId="01F7B735">
            <w:pPr>
              <w:pStyle w:val="8"/>
              <w:widowControl w:val="0"/>
              <w:kinsoku/>
              <w:overflowPunct w:val="0"/>
              <w:autoSpaceDE/>
              <w:autoSpaceDN/>
              <w:adjustRightInd/>
              <w:snapToGrid/>
              <w:spacing w:after="0" w:line="380" w:lineRule="exact"/>
              <w:ind w:firstLine="560" w:firstLineChars="200"/>
              <w:jc w:val="both"/>
              <w:rPr>
                <w:rFonts w:ascii="Times New Roman" w:hAnsi="Times New Roman" w:eastAsia="方正仿宋_GBK"/>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谋划肇庆市特殊教育学校项目、改扩建肇庆市专门学校项目。</w:t>
            </w:r>
          </w:p>
          <w:p w14:paraId="73196B02">
            <w:pPr>
              <w:pStyle w:val="8"/>
              <w:widowControl w:val="0"/>
              <w:kinsoku/>
              <w:overflowPunct w:val="0"/>
              <w:autoSpaceDE/>
              <w:autoSpaceDN/>
              <w:adjustRightInd/>
              <w:snapToGrid/>
              <w:spacing w:after="0" w:line="38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五、终身教育</w:t>
            </w:r>
          </w:p>
          <w:p w14:paraId="1A6EA6F5">
            <w:pPr>
              <w:pStyle w:val="8"/>
              <w:widowControl w:val="0"/>
              <w:kinsoku/>
              <w:overflowPunct w:val="0"/>
              <w:autoSpaceDE/>
              <w:autoSpaceDN/>
              <w:adjustRightInd/>
              <w:snapToGrid/>
              <w:spacing w:after="0" w:line="380" w:lineRule="exact"/>
              <w:ind w:firstLine="560" w:firstLineChars="200"/>
              <w:jc w:val="both"/>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snapToGrid/>
                <w:color w:val="000000" w:themeColor="text1"/>
                <w:kern w:val="21"/>
                <w:sz w:val="28"/>
                <w:szCs w:val="28"/>
                <w:lang w:eastAsia="zh-CN"/>
                <w14:textFill>
                  <w14:solidFill>
                    <w14:schemeClr w14:val="tx1"/>
                  </w14:solidFill>
                </w14:textFill>
              </w:rPr>
              <w:t>肇庆市终身教育增容项目。</w:t>
            </w:r>
          </w:p>
        </w:tc>
      </w:tr>
    </w:tbl>
    <w:p w14:paraId="66F6B9B6">
      <w:pPr>
        <w:widowControl w:val="0"/>
        <w:kinsoku/>
        <w:overflowPunct w:val="0"/>
        <w:autoSpaceDE/>
        <w:autoSpaceDN/>
        <w:adjustRightInd/>
        <w:snapToGrid/>
        <w:spacing w:line="400" w:lineRule="exact"/>
        <w:ind w:firstLine="640" w:firstLineChars="200"/>
        <w:jc w:val="both"/>
        <w:textAlignment w:val="auto"/>
        <w:rPr>
          <w:rFonts w:ascii="Times New Roman" w:hAnsi="Times New Roman" w:eastAsia="方正仿宋_GBK" w:cs="仿宋_GB2312"/>
          <w:snapToGrid/>
          <w:color w:val="000000" w:themeColor="text1"/>
          <w:kern w:val="21"/>
          <w:sz w:val="32"/>
          <w:lang w:eastAsia="zh-CN"/>
          <w14:textFill>
            <w14:solidFill>
              <w14:schemeClr w14:val="tx1"/>
            </w14:solidFill>
          </w14:textFill>
        </w:rPr>
      </w:pPr>
      <w:bookmarkStart w:id="896" w:name="_Toc31082"/>
      <w:bookmarkStart w:id="897" w:name="_Toc30899"/>
      <w:bookmarkStart w:id="898" w:name="_Toc15039"/>
      <w:bookmarkStart w:id="899" w:name="_Toc1394671988"/>
      <w:bookmarkStart w:id="900" w:name="_Toc1189409754"/>
      <w:bookmarkStart w:id="901" w:name="_Toc4157"/>
      <w:bookmarkStart w:id="902" w:name="_Toc2057641373"/>
      <w:bookmarkStart w:id="903" w:name="_Toc1959638276"/>
    </w:p>
    <w:p w14:paraId="1D2A35E7">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第十五章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实施</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健康优先发展战略，</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建设健康肇庆</w:t>
      </w:r>
      <w:bookmarkEnd w:id="896"/>
      <w:bookmarkEnd w:id="897"/>
      <w:bookmarkEnd w:id="898"/>
      <w:bookmarkEnd w:id="899"/>
      <w:bookmarkEnd w:id="900"/>
      <w:bookmarkEnd w:id="901"/>
      <w:bookmarkEnd w:id="902"/>
      <w:bookmarkEnd w:id="903"/>
    </w:p>
    <w:p w14:paraId="5E47EA9B">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lang w:eastAsia="zh-CN"/>
          <w14:textFill>
            <w14:solidFill>
              <w14:schemeClr w14:val="tx1"/>
            </w14:solidFill>
          </w14:textFill>
        </w:rPr>
      </w:pPr>
    </w:p>
    <w:p w14:paraId="7F354A1F">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lang w:eastAsia="zh-CN"/>
          <w14:textFill>
            <w14:solidFill>
              <w14:schemeClr w14:val="tx1"/>
            </w14:solidFill>
          </w14:textFill>
        </w:rPr>
        <w:t>坚持健康优先发展战略，着力优布局、强基础、提质量、攀高峰，全力建设更高层次、更高水平的健康肇庆。</w:t>
      </w:r>
    </w:p>
    <w:p w14:paraId="7B792CEF">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04" w:name="_Toc18433"/>
      <w:bookmarkStart w:id="905" w:name="_Toc93334720"/>
      <w:bookmarkStart w:id="906" w:name="_Toc16738"/>
      <w:bookmarkStart w:id="907" w:name="_Toc1478101798"/>
      <w:bookmarkStart w:id="908" w:name="_Toc1252811476"/>
      <w:bookmarkStart w:id="909" w:name="_Toc4171"/>
      <w:bookmarkStart w:id="910" w:name="_Toc47017164"/>
      <w:bookmarkStart w:id="911" w:name="_Toc2068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强化医疗卫生服务能力建设</w:t>
      </w:r>
      <w:bookmarkEnd w:id="904"/>
      <w:bookmarkEnd w:id="905"/>
      <w:bookmarkEnd w:id="906"/>
      <w:bookmarkEnd w:id="907"/>
      <w:bookmarkEnd w:id="908"/>
      <w:bookmarkEnd w:id="909"/>
      <w:bookmarkEnd w:id="910"/>
      <w:bookmarkEnd w:id="911"/>
    </w:p>
    <w:p w14:paraId="651127B0">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聚力打造医疗高峰高地，深化县域</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医疗卫生共同</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体建设，推动优质医疗扩容下沉、均衡布局，更好满足群众医疗卫生健康服务需求。</w:t>
      </w:r>
    </w:p>
    <w:p w14:paraId="3B3A1E2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spacing w:val="-6"/>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持续推进医疗高峰高地建设。推动肇庆建设</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国内一流、国际知名</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的国家区域医疗中心，</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加快</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形成区域医疗高地</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。支持</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肇庆市第一人民医院与中山大学共建博士后创新实践基地，打造高水平科研与人才培养平台</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完成中山三院肇庆医院二期项目建设，实现学科技术全平移，新增重点科室。</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推动“三甲”医院增量提质，</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持续推进</w:t>
      </w:r>
      <w:r>
        <w:rPr>
          <w:rFonts w:ascii="Times New Roman" w:hAnsi="Times New Roman" w:eastAsia="方正仿宋_GBK" w:cs="Times New Roman"/>
          <w:snapToGrid/>
          <w:color w:val="000000" w:themeColor="text1"/>
          <w:kern w:val="21"/>
          <w:sz w:val="32"/>
          <w:lang w:eastAsia="zh-Hans"/>
          <w14:textFill>
            <w14:solidFill>
              <w14:schemeClr w14:val="tx1"/>
            </w14:solidFill>
          </w14:textFill>
        </w:rPr>
        <w:t>三甲医院创建</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工作，</w:t>
      </w:r>
      <w:r>
        <w:rPr>
          <w:rFonts w:hint="eastAsia" w:ascii="Times New Roman" w:hAnsi="Times New Roman" w:eastAsia="方正仿宋_GBK" w:cs="Times New Roman"/>
          <w:snapToGrid/>
          <w:color w:val="000000" w:themeColor="text1"/>
          <w:kern w:val="21"/>
          <w:sz w:val="32"/>
          <w:lang w:eastAsia="zh-Hans"/>
          <w14:textFill>
            <w14:solidFill>
              <w14:schemeClr w14:val="tx1"/>
            </w14:solidFill>
          </w14:textFill>
        </w:rPr>
        <w:t>支持怀集县</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、四会市</w:t>
      </w:r>
      <w:r>
        <w:rPr>
          <w:rFonts w:hint="eastAsia" w:ascii="Times New Roman" w:hAnsi="Times New Roman" w:eastAsia="方正仿宋_GBK" w:cs="Times New Roman"/>
          <w:snapToGrid/>
          <w:color w:val="000000" w:themeColor="text1"/>
          <w:kern w:val="21"/>
          <w:sz w:val="32"/>
          <w:lang w:eastAsia="zh-Hans"/>
          <w14:textFill>
            <w14:solidFill>
              <w14:schemeClr w14:val="tx1"/>
            </w14:solidFill>
          </w14:textFill>
        </w:rPr>
        <w:t>人民医院</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夯实</w:t>
      </w:r>
      <w:r>
        <w:rPr>
          <w:rFonts w:hint="eastAsia" w:ascii="Times New Roman" w:hAnsi="Times New Roman" w:eastAsia="方正仿宋_GBK" w:cs="Times New Roman"/>
          <w:snapToGrid/>
          <w:color w:val="000000" w:themeColor="text1"/>
          <w:kern w:val="21"/>
          <w:sz w:val="32"/>
          <w:lang w:eastAsia="zh-Hans"/>
          <w14:textFill>
            <w14:solidFill>
              <w14:schemeClr w14:val="tx1"/>
            </w14:solidFill>
          </w14:textFill>
        </w:rPr>
        <w:t>创建三甲医院</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的前置条件。推动重点专科品牌化发展，支持肇庆市第一人民医院、中山三院肇庆医院、</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肇庆市第</w:t>
      </w:r>
      <w:r>
        <w:rPr>
          <w:rFonts w:hint="eastAsia" w:ascii="Times New Roman" w:hAnsi="Times New Roman" w:eastAsia="方正仿宋_GBK" w:cs="Times New Roman"/>
          <w:snapToGrid/>
          <w:color w:val="000000" w:themeColor="text1"/>
          <w:kern w:val="21"/>
          <w:sz w:val="32"/>
          <w:lang w:eastAsia="zh-Hans"/>
          <w14:textFill>
            <w14:solidFill>
              <w14:schemeClr w14:val="tx1"/>
            </w14:solidFill>
          </w14:textFill>
        </w:rPr>
        <w:t>二</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人民医</w:t>
      </w:r>
      <w:r>
        <w:rPr>
          <w:rFonts w:ascii="Times New Roman" w:hAnsi="Times New Roman" w:eastAsia="方正仿宋_GBK" w:cs="Times New Roman"/>
          <w:snapToGrid/>
          <w:color w:val="000000" w:themeColor="text1"/>
          <w:spacing w:val="-6"/>
          <w:kern w:val="21"/>
          <w:sz w:val="32"/>
          <w:lang w:eastAsia="zh-CN"/>
          <w14:textFill>
            <w14:solidFill>
              <w14:schemeClr w14:val="tx1"/>
            </w14:solidFill>
          </w14:textFill>
        </w:rPr>
        <w:t>院</w:t>
      </w:r>
      <w:r>
        <w:rPr>
          <w:rFonts w:hint="eastAsia" w:ascii="Times New Roman" w:hAnsi="Times New Roman" w:eastAsia="方正仿宋_GBK" w:cs="Times New Roman"/>
          <w:snapToGrid/>
          <w:color w:val="000000" w:themeColor="text1"/>
          <w:spacing w:val="-6"/>
          <w:kern w:val="21"/>
          <w:sz w:val="32"/>
          <w:lang w:eastAsia="zh-CN"/>
          <w14:textFill>
            <w14:solidFill>
              <w14:schemeClr w14:val="tx1"/>
            </w14:solidFill>
          </w14:textFill>
        </w:rPr>
        <w:t>等医院加强重点专科建设。力争到“十五五”期末，全市每千人口执业（助理）医师数、注册护士数分别达到3.2人、4.7人。</w:t>
      </w:r>
    </w:p>
    <w:p w14:paraId="520260BB">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深化县域医联体建设。</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鼓励三甲医院与县级医院建立医联体，通过托管、共建等方式，推动优质医疗资源向基层延伸；支持肇庆市第一人民医院等市级医院与基层医疗机构组建紧密型医联体，推动市级优质资源向县区辐射。加强紧密型县域医共体内涵建设，提升县域医共体紧密性、协同性。</w:t>
      </w:r>
    </w:p>
    <w:p w14:paraId="483FFE1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完善全生命周期健康服务。</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构建全域覆盖、智能高效、安全可靠的全民健康信息服务体系，实现医疗卫生机构数字化、健康医疗数据要素化</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流动化</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、公共卫生管理智能化、健康服务普惠便捷化，提供全方位全周期的数字健康服务，全面提高人均预期寿命。推动</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以健康为中心</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转型，构建覆盖婚前、孕前、孕期、产后、儿童期、更年期的连续服务链条。强化多发疾病、慢性病的综合防控以及罕见病的防治能力，提升重点疾病的健康保障水平，发展防治康管全链条服务。健全基层医疗卫生服务体系，着力提升基本公共卫生服务均等化和基本医疗服务均质化水平。加强慢性病监测体系建设，推进基层医疗机构慢性病管理能力提升，开展全民慢性病防控健康教育。加快补齐精神卫生服务短板，提升精神卫生专业机构和基层精防人员服务能力</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推进社会心理服务体系建设。加快实施全民健身设施补短板行动，深化体教融合、体卫融合。</w:t>
      </w:r>
    </w:p>
    <w:p w14:paraId="7F02AAA2">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12" w:name="_Toc16350"/>
      <w:bookmarkStart w:id="913" w:name="_Toc864054799"/>
      <w:bookmarkStart w:id="914" w:name="_Toc2059140217"/>
      <w:bookmarkStart w:id="915" w:name="_Toc27325"/>
      <w:bookmarkStart w:id="916" w:name="_Toc569123554"/>
      <w:bookmarkStart w:id="917" w:name="_Toc23657"/>
      <w:bookmarkStart w:id="918" w:name="_Toc1549763489"/>
      <w:bookmarkStart w:id="919" w:name="_Toc2158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持续完善公共卫生体系</w:t>
      </w:r>
      <w:bookmarkEnd w:id="912"/>
      <w:bookmarkEnd w:id="913"/>
      <w:bookmarkEnd w:id="914"/>
      <w:bookmarkEnd w:id="915"/>
      <w:bookmarkEnd w:id="916"/>
      <w:bookmarkEnd w:id="917"/>
      <w:bookmarkEnd w:id="918"/>
      <w:bookmarkEnd w:id="919"/>
    </w:p>
    <w:p w14:paraId="148965F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加快推进公共卫生治理体系和治理能力现代化建设，提升重大疫情防控能力，筑牢公共卫生安全防线，切实维护人民群众生命健康安全。</w:t>
      </w:r>
    </w:p>
    <w:p w14:paraId="441D8F9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提升疾控体系现代化建设与效能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推进疾控体系现代化建设</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建立完善运行保障机制，做好市、县级疾控中心重新组建工作，稳妥有序推进与同级卫生监督机构整合。健全医防协同机制，推进医疗机构和公共卫生机构的深度协作，建立人才流动、服务融合、信息共享等机制。持续开展现场流行病学调查、监测预警、应急处置、实验室检验检测、监督执法等专业人员继续教育培训。强化重点传染病防控，加强新发传染病和境外输入传染病的监测预警与应急处置。</w:t>
      </w:r>
    </w:p>
    <w:p w14:paraId="2A68575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强化公共卫生风险防控</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深入开展爱国卫生运动，提升城乡人居环境水平，筑牢群防群控的公共卫生防线。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全民防控意识</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健康教育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知识宣传普及。</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优化市级公共卫生应急指挥平台功能，提升新发传染病、境外输入传染病监测预警响应效率。严格落实免疫规划政策，保持适龄儿童国家免疫规划疫苗高接种率。加强艾滋病、结核病等重大传染病防控，持续降低艾滋病母婴传播率，提高肺结核患者成功治疗率。强化公共卫生应急物资储备，加强公共卫生应急队伍管理，提升急诊急救应急响应能力、血液应急联动保障能力和突发公共卫生事件应对能力。</w:t>
      </w:r>
    </w:p>
    <w:p w14:paraId="6644355A">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20" w:name="_Toc7025"/>
      <w:bookmarkStart w:id="921" w:name="_Toc2040376013"/>
      <w:bookmarkStart w:id="922" w:name="_Toc26444"/>
      <w:bookmarkStart w:id="923" w:name="_Toc1653922459"/>
      <w:bookmarkStart w:id="924" w:name="_Toc19169"/>
      <w:bookmarkStart w:id="925" w:name="_Toc902133184"/>
      <w:bookmarkStart w:id="926" w:name="_Toc1733178989"/>
      <w:bookmarkStart w:id="927" w:name="_Toc2701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推动中医药事业发展</w:t>
      </w:r>
      <w:bookmarkEnd w:id="920"/>
      <w:bookmarkEnd w:id="921"/>
      <w:bookmarkEnd w:id="922"/>
      <w:bookmarkEnd w:id="923"/>
      <w:bookmarkEnd w:id="924"/>
      <w:bookmarkEnd w:id="925"/>
      <w:bookmarkEnd w:id="926"/>
      <w:bookmarkEnd w:id="927"/>
    </w:p>
    <w:p w14:paraId="5CAFE56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充分发挥肇庆中医药特色和优势，提升中医药服务能力，推动中医药传承创新与产业融合，筑牢中医药健康服务根基。</w:t>
      </w:r>
    </w:p>
    <w:p w14:paraId="71A047D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spacing w:val="-6"/>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强化中医药服务能力。</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推进国家中医药综合改革示范区试点建设，巩固提升全国基层中医药工作示范市创建成果。完善以市中医院为龙头、县级中医院为主体，综合医院和基层医疗卫生机构中医药科室为基础的中医药服务体系。推动中医医院创甲评级、中医优势专科建设，支持有条件的医院建设中西医结合诊疗中</w:t>
      </w:r>
      <w:r>
        <w:rPr>
          <w:rFonts w:hint="eastAsia" w:ascii="Times New Roman" w:hAnsi="Times New Roman" w:eastAsia="方正仿宋_GBK" w:cs="Times New Roman"/>
          <w:snapToGrid/>
          <w:color w:val="000000" w:themeColor="text1"/>
          <w:spacing w:val="-6"/>
          <w:kern w:val="21"/>
          <w:sz w:val="32"/>
          <w:lang w:eastAsia="zh-CN"/>
          <w14:textFill>
            <w14:solidFill>
              <w14:schemeClr w14:val="tx1"/>
            </w14:solidFill>
          </w14:textFill>
        </w:rPr>
        <w:t>心。加强基层中医药服务网络建设，推动村卫生站具备基本中医药服务能力。传承推广肇庆特色中医技法，培育中医药特色专科。</w:t>
      </w:r>
    </w:p>
    <w:p w14:paraId="6459C7E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促进中医药产业融合。</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支持中医药企业发展，推动南药精深加工，开发中药饮片、养生保健产品等，培育具有肇庆特色的中医药品牌。推动中医药与文旅、康养融合，推动建设中医药健康旅游项目，开发南药研学、中医养生体验等产品，助力乡村振兴与健康产业发展。加强岭南中药材保护和开发利用，常态举办年度药膳大赛</w:t>
      </w:r>
      <w:r>
        <w:rPr>
          <w:rFonts w:ascii="Times New Roman" w:hAnsi="Times New Roman" w:eastAsia="方正仿宋_GBK" w:cs="Times New Roman"/>
          <w:snapToGrid/>
          <w:color w:val="000000" w:themeColor="text1"/>
          <w:kern w:val="21"/>
          <w:sz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支持德庆县申报巴戟天“药食同源”品种，推动南药药膳产业化发展。</w:t>
      </w:r>
    </w:p>
    <w:p w14:paraId="45B3A89E">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加强中医药传承创新。</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建立中医药人才培养体系，与高等院校合作开展订单式培养，传承名老中医药专家学术经验。推动中医药科研平台建设，支持医疗机构、企业联合开展南药药效研究、特色方剂开发，促进中医药科研成果转化应用。进一步加强西学中基地建设，培养更多掌握中医药知识的西医从业人员。</w:t>
      </w:r>
    </w:p>
    <w:p w14:paraId="726FB657">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28" w:name="_Toc1088822143"/>
      <w:bookmarkStart w:id="929" w:name="_Toc17136"/>
      <w:bookmarkStart w:id="930" w:name="_Toc1196808374"/>
      <w:bookmarkStart w:id="931" w:name="_Toc2143482822"/>
      <w:bookmarkStart w:id="932" w:name="_Toc5459"/>
      <w:bookmarkStart w:id="933" w:name="_Toc21638"/>
      <w:bookmarkStart w:id="934" w:name="_Toc8192"/>
      <w:bookmarkStart w:id="935" w:name="_Toc41577274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深化医药卫生体制改革</w:t>
      </w:r>
      <w:bookmarkEnd w:id="928"/>
      <w:bookmarkEnd w:id="929"/>
      <w:bookmarkEnd w:id="930"/>
      <w:bookmarkEnd w:id="931"/>
      <w:bookmarkEnd w:id="932"/>
      <w:bookmarkEnd w:id="933"/>
      <w:bookmarkEnd w:id="934"/>
      <w:bookmarkEnd w:id="935"/>
    </w:p>
    <w:p w14:paraId="075C651C">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健全分级诊疗体系，统筹医疗、医保、医药协同发展，鼓励社会办医发展，激发医疗卫生事业发展活力，持续增强群众就医获得感。</w:t>
      </w:r>
    </w:p>
    <w:p w14:paraId="2636B048">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推进分级诊疗制度建设。</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优化医疗资源配置，明确各级医疗机构功能定位，推动常见病、多发病在基层首诊。完善家庭医生签约服务，扩大签约覆盖面，提升签约服务质量，建立家庭医生与居民长期稳定的健康服务关系。健全双向转诊机制，畅通上下转诊渠道，减少跨区域就医。​</w:t>
      </w:r>
    </w:p>
    <w:p w14:paraId="6144609E">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深化医保制度改革。</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完善基本医疗保险制度，健全筹资运行机制，稳步提高保障水平。深化医保支付改革，统筹推进住院与门诊、中医药和生育支付方式改革，完善病种付费核心要素测算，合理确定医保支付标准，优化结余资金使用政策，引导医疗机构从规模扩张转向内涵发展。加强医保定点管理，全面开展定点医药机构资源配置规划。</w:t>
      </w:r>
    </w:p>
    <w:p w14:paraId="630A0AB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规范医疗服务与药品供应保障。</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深化医疗服务体系改革，推进公立医院综合改革。加强医疗机构运行监管，规范医疗服务行为，控制医疗费用不合理增长。执行药品集中采购与使用制度，落实国家、省药品集采政策，保障药品质量与供应稳定。推动药品监管能力建设，加强药品全生命周期监管，保障群众用药安全。</w:t>
      </w:r>
    </w:p>
    <w:p w14:paraId="4EED58A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仿宋_GB2312" w:cs="Times New Roman"/>
          <w:snapToGrid/>
          <w:color w:val="000000" w:themeColor="text1"/>
          <w:kern w:val="21"/>
          <w:sz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鼓励社会办医发展。</w:t>
      </w:r>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t>优化社会办医政策环境，放宽社会办医准入限制，支持社会力量举办专科医院、护理院、康复医院等特色医疗机构。引导社会办医机构规范发展，加强行业监管，促进公立医疗机构与社会办医机构优势互补、有序竞争，丰富医疗服务供给。</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发展</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人工智能+医疗健康</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应用，拓展深化预问诊、辅助诊断、临床路径优化、管理决策等应用场景。</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36F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071" w:type="dxa"/>
            <w:tcBorders>
              <w:bottom w:val="single" w:color="auto" w:sz="4" w:space="0"/>
            </w:tcBorders>
            <w:vAlign w:val="center"/>
          </w:tcPr>
          <w:p w14:paraId="5C5C302D">
            <w:pPr>
              <w:widowControl w:val="0"/>
              <w:kinsoku/>
              <w:overflowPunct w:val="0"/>
              <w:autoSpaceDE/>
              <w:autoSpaceDN/>
              <w:adjustRightInd/>
              <w:snapToGrid/>
              <w:spacing w:line="500" w:lineRule="exact"/>
              <w:jc w:val="center"/>
              <w:rPr>
                <w:rFonts w:ascii="Times New Roman" w:hAnsi="Times New Roman" w:eastAsia="方正仿宋简体"/>
                <w:snapToGrid/>
                <w:color w:val="000000" w:themeColor="text1"/>
                <w:kern w:val="21"/>
                <w:lang w:eastAsia="zh-CN"/>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1</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8</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十</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肇庆市</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卫生健康重点项目</w:t>
            </w:r>
          </w:p>
        </w:tc>
      </w:tr>
      <w:tr w14:paraId="101C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071" w:type="dxa"/>
            <w:tcBorders>
              <w:top w:val="single" w:color="auto" w:sz="4" w:space="0"/>
              <w:left w:val="single" w:color="auto" w:sz="4" w:space="0"/>
              <w:bottom w:val="single" w:color="auto" w:sz="4" w:space="0"/>
              <w:right w:val="single" w:color="auto" w:sz="4" w:space="0"/>
            </w:tcBorders>
          </w:tcPr>
          <w:p w14:paraId="09354643">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一、优质医疗资源扩容工程</w:t>
            </w:r>
          </w:p>
          <w:p w14:paraId="312F83FD">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重点方向：完成国家区域医疗中心（1个）建设，提升省级高水平医院（1个）综合实力。以</w:t>
            </w:r>
            <w:r>
              <w:rPr>
                <w:rFonts w:hint="eastAsia" w:ascii="Times New Roman" w:hAnsi="Times New Roman" w:eastAsia="方正仿宋_GBK" w:cs="Times New Roman"/>
                <w:snapToGrid/>
                <w:color w:val="000000" w:themeColor="text1"/>
                <w:kern w:val="21"/>
                <w:sz w:val="28"/>
                <w:szCs w:val="28"/>
                <w:lang w:eastAsia="zh-Hans"/>
                <w14:textFill>
                  <w14:solidFill>
                    <w14:schemeClr w14:val="tx1"/>
                  </w14:solidFill>
                </w14:textFill>
              </w:rPr>
              <w:t>肇庆</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市第一人民医院和中山三院肇庆医院为“双龙</w:t>
            </w:r>
            <w:r>
              <w:rPr>
                <w:rFonts w:hint="eastAsia" w:ascii="Times New Roman" w:hAnsi="Times New Roman" w:eastAsia="方正仿宋_GBK" w:cs="Times New Roman"/>
                <w:snapToGrid/>
                <w:color w:val="000000" w:themeColor="text1"/>
                <w:spacing w:val="6"/>
                <w:kern w:val="21"/>
                <w:sz w:val="28"/>
                <w:szCs w:val="28"/>
                <w:lang w:eastAsia="zh-CN"/>
                <w14:textFill>
                  <w14:solidFill>
                    <w14:schemeClr w14:val="tx1"/>
                  </w14:solidFill>
                </w14:textFill>
              </w:rPr>
              <w:t>头”，打造为全市医疗服务高峰。分层分级分类提升专科能力，建设一批国家级、省级、市级临床重点专科和区域优势专科。突出东部城区一体化融合发展和西部县域医疗承载能力提升，以“强基工程”为着力点，聚焦医疗设备更新、病房改造、托育服务提升等领域谋划重点项目。</w:t>
            </w:r>
          </w:p>
          <w:p w14:paraId="65244C0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项目：肇庆市第二人民医院新院项目、肇庆市第一人民医院（肇庆市医疗紧急救援中心）医疗设备更新项目、肇庆市第四人民医院新院项目、端州区人民医院医疗能力提升项目、端州区妇幼保健院医疗综合能力升级项目、端州区人民医院紧密型医联体医疗设备购置项目、高要区人民医院新院项目、四会市人民医院新院新一期项目、四会市妇幼保健院异地新建项目、四会市大沙镇中心卫生院升级（肇庆市第五人民医院）项目、四会市龙甫镇卫生院升级项目、广宁县人民医院住院部临床病区升级改造装修项目、广宁县医共体分院综合服务能力提升项目、德庆县县域医疗机构病房改造项目、德庆县基层医疗卫生机构升级改造项目、德庆县县域医疗信息化提升项目、怀集县人民医院新院工程二期项目、怀集县梁村镇中心卫生院综合楼项目、怀集县全民健康信息化提升项目、封开县域紧密型医共体优化提升项目、封开县医疗卫生强基工程、肇庆高新区中心人民医院二期配套项目、肇庆高新区社区“1+N”医疗服务能力提升项目、肇庆高新区数字化“健康云”项目。</w:t>
            </w:r>
          </w:p>
          <w:p w14:paraId="576350F0">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二、基层医疗机构能力提升工程</w:t>
            </w:r>
          </w:p>
          <w:p w14:paraId="46A64EA5">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推动全市9个县域医共体建设资源共享中心和中心药房。推行“分布式检查、集中式诊断”，实现基层检查、上级诊断及各医疗机构之间常规检查检验项目互通互认。在县域医疗卫生次中心、社区医院等基层医疗卫生机构，培育建设一批临床特色专科。</w:t>
            </w:r>
          </w:p>
          <w:p w14:paraId="7B0169DA">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三、紧急医学救援能力提升工程</w:t>
            </w:r>
          </w:p>
          <w:p w14:paraId="28704199">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发挥市第一人民医院和四会人民医院两支省级紧急医学救援队伍的示范带动作用，每年定期组织全市紧急救援队伍户外应急演练，不断提升基层应急救援队伍能力。</w:t>
            </w:r>
          </w:p>
          <w:p w14:paraId="2D55869C">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四、疾病预防控制体系现代化建设工程</w:t>
            </w:r>
          </w:p>
          <w:p w14:paraId="52C2B546">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方向：提升市县两级疾控机构现代化水平，推进监测预警体系建设。加强现场流行病学调查、病媒生物防制、新发突发传染病应急处置、卫生监督执法等专业人才队伍标准化建设。推进卫生监督实训基地现代化建设，提升综合监督执法系统智慧化水平。</w:t>
            </w:r>
          </w:p>
          <w:p w14:paraId="754194DF">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重点项目：肇庆市公共卫生临床医疗中心项目、四会市应急医疗救治设施项目。</w:t>
            </w:r>
          </w:p>
          <w:p w14:paraId="33D1EF61">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五、中医药传承创新工程</w:t>
            </w:r>
          </w:p>
          <w:p w14:paraId="5473508B">
            <w:pPr>
              <w:widowControl w:val="0"/>
              <w:kinsoku/>
              <w:overflowPunct w:val="0"/>
              <w:autoSpaceDE/>
              <w:autoSpaceDN/>
              <w:adjustRightInd/>
              <w:snapToGrid/>
              <w:spacing w:line="400" w:lineRule="exact"/>
              <w:ind w:firstLine="560" w:firstLineChars="200"/>
              <w:jc w:val="both"/>
              <w:textAlignment w:val="auto"/>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方向：实现国家中医优势专科不少于2个、省级中医重点（特色）专科不少于40个、市级中医重点（特色）专科不少于60个、基层中医特色专科不少于20个。实施基层医疗机构中医院馆（阁）服务能力提升行动。</w:t>
            </w:r>
          </w:p>
          <w:p w14:paraId="5DEAE3EE">
            <w:pPr>
              <w:widowControl w:val="0"/>
              <w:numPr>
                <w:ilvl w:val="255"/>
                <w:numId w:val="0"/>
              </w:numPr>
              <w:kinsoku/>
              <w:overflowPunct w:val="0"/>
              <w:autoSpaceDE/>
              <w:autoSpaceDN/>
              <w:adjustRightInd/>
              <w:snapToGrid/>
              <w:spacing w:line="400" w:lineRule="exact"/>
              <w:ind w:firstLine="560" w:firstLineChars="200"/>
              <w:jc w:val="both"/>
              <w:textAlignment w:val="auto"/>
              <w:rPr>
                <w:rFonts w:ascii="Times New Roman" w:hAnsi="Times New Roman"/>
                <w:snapToGrid/>
                <w:color w:val="000000" w:themeColor="text1"/>
                <w:kern w:val="21"/>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重点项目：肇庆市中医院改扩建项目、端州区华佗医院康复与老年护理能力提升项目、四会市中医院升级项目、广宁县中医院医养结合服务能力项目、怀集县中医院医联体医疗服务能力提升工程</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和</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高要区中医院发热门诊、应急病房及配套设施建设项目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w:t>
            </w:r>
          </w:p>
        </w:tc>
      </w:tr>
    </w:tbl>
    <w:p w14:paraId="445CBADD">
      <w:pPr>
        <w:pStyle w:val="8"/>
        <w:widowControl w:val="0"/>
        <w:kinsoku/>
        <w:overflowPunct w:val="0"/>
        <w:autoSpaceDE/>
        <w:autoSpaceDN/>
        <w:snapToGrid/>
        <w:spacing w:after="93" w:afterLines="30"/>
        <w:rPr>
          <w:rFonts w:ascii="Times New Roman" w:hAnsi="Times New Roman" w:eastAsia="方正仿宋_GBK"/>
          <w:snapToGrid/>
          <w:color w:val="000000" w:themeColor="text1"/>
          <w:kern w:val="21"/>
          <w:lang w:eastAsia="zh-CN"/>
          <w14:textFill>
            <w14:solidFill>
              <w14:schemeClr w14:val="tx1"/>
            </w14:solidFill>
          </w14:textFill>
        </w:rPr>
      </w:pPr>
    </w:p>
    <w:p w14:paraId="4259074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bookmarkStart w:id="936" w:name="_Toc865364344"/>
      <w:bookmarkStart w:id="937" w:name="_Toc16290"/>
      <w:bookmarkStart w:id="938" w:name="_Toc26673"/>
      <w:bookmarkStart w:id="939" w:name="_Toc1063881976"/>
      <w:bookmarkStart w:id="940" w:name="_Toc27242"/>
      <w:bookmarkStart w:id="941" w:name="_Toc85248853"/>
      <w:bookmarkStart w:id="942" w:name="_Toc24959"/>
      <w:bookmarkStart w:id="943" w:name="_Toc885568383"/>
    </w:p>
    <w:p w14:paraId="22F37BD7">
      <w:pPr>
        <w:widowControl w:val="0"/>
        <w:kinsoku/>
        <w:overflowPunct w:val="0"/>
        <w:autoSpaceDE/>
        <w:autoSpaceDN/>
        <w:adjustRightInd/>
        <w:snapToGrid/>
        <w:spacing w:line="590" w:lineRule="exact"/>
        <w:jc w:val="center"/>
        <w:textAlignment w:val="auto"/>
        <w:rPr>
          <w:rFonts w:ascii="Times New Roman" w:hAnsi="Times New Roman"/>
          <w:lang w:eastAsia="zh-CN"/>
        </w:rPr>
      </w:pPr>
      <w:r>
        <w:rPr>
          <w:rFonts w:ascii="Times New Roman" w:hAnsi="Times New Roman"/>
          <w:lang w:eastAsia="zh-CN"/>
        </w:rPr>
        <w:br w:type="page"/>
      </w:r>
    </w:p>
    <w:p w14:paraId="0AE8CC4B">
      <w:pPr>
        <w:pStyle w:val="6"/>
        <w:widowControl w:val="0"/>
        <w:kinsoku/>
        <w:overflowPunct w:val="0"/>
        <w:autoSpaceDE/>
        <w:autoSpaceDN/>
        <w:adjustRightInd/>
        <w:snapToGrid/>
        <w:spacing w:line="400" w:lineRule="exact"/>
        <w:ind w:firstLine="640"/>
        <w:jc w:val="both"/>
        <w:textAlignment w:val="auto"/>
        <w:rPr>
          <w:rFonts w:ascii="Times New Roman" w:hAnsi="Times New Roman"/>
          <w:sz w:val="32"/>
          <w:szCs w:val="32"/>
          <w:lang w:eastAsia="zh-CN"/>
        </w:rPr>
      </w:pPr>
    </w:p>
    <w:p w14:paraId="5DB748A0">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第十</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六</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章</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健全人口服务体系</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促进人口高质量发展</w:t>
      </w:r>
      <w:bookmarkEnd w:id="936"/>
      <w:bookmarkEnd w:id="937"/>
      <w:bookmarkEnd w:id="938"/>
      <w:bookmarkEnd w:id="939"/>
    </w:p>
    <w:bookmarkEnd w:id="940"/>
    <w:bookmarkEnd w:id="941"/>
    <w:bookmarkEnd w:id="942"/>
    <w:bookmarkEnd w:id="943"/>
    <w:p w14:paraId="0D5044FE">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p>
    <w:p w14:paraId="72ADAF2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坚持以人口高质量发展促进经济社会高质量发展，打造全龄友好型城市，健全覆盖全人群、全生命周期的人口服务体系。</w:t>
      </w:r>
    </w:p>
    <w:p w14:paraId="2208FC37">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44" w:name="_Toc28971"/>
      <w:bookmarkStart w:id="945" w:name="_Toc1284"/>
      <w:bookmarkStart w:id="946" w:name="_Toc1762313026"/>
      <w:bookmarkStart w:id="947" w:name="_Toc908565074"/>
      <w:bookmarkStart w:id="948" w:name="_Toc12799"/>
      <w:bookmarkStart w:id="949" w:name="_Toc924569634"/>
      <w:bookmarkStart w:id="950" w:name="_Toc1970"/>
      <w:bookmarkStart w:id="951" w:name="_Toc199048598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着力构建生育友好型社会</w:t>
      </w:r>
      <w:bookmarkEnd w:id="944"/>
      <w:bookmarkEnd w:id="945"/>
      <w:bookmarkEnd w:id="946"/>
      <w:bookmarkEnd w:id="947"/>
      <w:bookmarkEnd w:id="948"/>
      <w:bookmarkEnd w:id="949"/>
      <w:bookmarkEnd w:id="950"/>
      <w:bookmarkEnd w:id="951"/>
    </w:p>
    <w:p w14:paraId="4F15B626">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健全人口发展支持和服务体系，完善生育支持政策，有效降低生育、养育、教育成本，营造生育友好社会环境。</w:t>
      </w:r>
    </w:p>
    <w:p w14:paraId="0516F192">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强化生育政策配套保障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落实国家生育政策及配套措施，完善育儿补贴、产假、哺乳假等制度，实施父母育儿假，建立合理的生育休假成本共担机制。推动用人单位采取弹性工作制、居家办公等方式，帮助职工解决育儿困难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提高优生优育、妇幼保健服</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务水平，推</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进辅助生殖技术发展，</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完善市县两级危重孕产妇、新生儿救治体系，提高出生人口质量。</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合理提升产前检查医疗费用保障水平，力争全市基本实现政策范围内分娩个人“无自付”。</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针对农村家庭、新业态从业者等群体，优化生育服务补贴申领流程。</w:t>
      </w:r>
    </w:p>
    <w:p w14:paraId="474C8CED">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营造生育友好社会环境。</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倡导积极婚育观，加强</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家庭家教家风建设，培育积极向上的婚育文化</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开展生殖健康知识和辅助生殖技术政策科普宣传，提升群众生殖健康意识。推动用人单位建立生育友好工作机制，严禁因生育歧视女性就业，保障育龄女性平等就业权益。在商场、公园、交通枢纽等公共场所，规范配置母婴室、亲子服务设施，推动社区配套儿童活动空间，打造便捷友好的生育生活环境。</w:t>
      </w:r>
    </w:p>
    <w:p w14:paraId="2D1650CD">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52" w:name="_Toc1843265479"/>
      <w:bookmarkStart w:id="953" w:name="_Toc1154"/>
      <w:bookmarkStart w:id="954" w:name="_Toc25977"/>
      <w:bookmarkStart w:id="955" w:name="_Toc1976494362"/>
      <w:bookmarkStart w:id="956" w:name="_Toc936644614"/>
      <w:bookmarkStart w:id="957" w:name="_Toc30820"/>
      <w:bookmarkStart w:id="958" w:name="_Toc861"/>
      <w:bookmarkStart w:id="959" w:name="_Toc23006953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完善婴幼儿照护服务</w:t>
      </w:r>
      <w:bookmarkEnd w:id="952"/>
      <w:bookmarkEnd w:id="953"/>
      <w:bookmarkEnd w:id="954"/>
      <w:bookmarkEnd w:id="955"/>
      <w:bookmarkEnd w:id="956"/>
      <w:bookmarkEnd w:id="957"/>
      <w:bookmarkEnd w:id="958"/>
      <w:bookmarkEnd w:id="959"/>
    </w:p>
    <w:p w14:paraId="1F499358">
      <w:pPr>
        <w:widowControl w:val="0"/>
        <w:numPr>
          <w:ilvl w:val="255"/>
          <w:numId w:val="0"/>
        </w:numPr>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扩面提质普惠托育服务，构建多元化婴幼儿照护服务网络，强化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照护</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服务监管与业态融合</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守护婴幼儿健康成长。</w:t>
      </w:r>
    </w:p>
    <w:p w14:paraId="496BA771">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扩大普惠托育供给</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统筹城乡托育资源布局，</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开展托育综合服务中心和公办托育服务网络建设，着力增加公建托位供给，提高公建托位占比，</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谋划</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建设市级托育综合服务中心</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力争到“十五五”期末，全市3岁以下婴幼儿入托率提升到12%。</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鼓励幼儿园开设托育班，支持社会力量参与普惠托育，对符合条件的托育机构给予运营补贴。</w:t>
      </w:r>
    </w:p>
    <w:p w14:paraId="379611BA">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夯实家庭照护基础</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开展家庭照护能力提升行动，通过线上课堂、社区讲座、入户指导等方式，普及科学育儿知识，重点面向农村家庭、新手父母提供婴幼儿喂养、疾病预防、早期发展等指导。支持有条件的用人单位为职工提供托育服务或育儿补贴，减轻家庭照护压力。</w:t>
      </w:r>
    </w:p>
    <w:p w14:paraId="3CF25431">
      <w:pPr>
        <w:widowControl w:val="0"/>
        <w:kinsoku/>
        <w:overflowPunct w:val="0"/>
        <w:autoSpaceDE/>
        <w:autoSpaceDN/>
        <w:adjustRightInd/>
        <w:snapToGrid/>
        <w:spacing w:line="58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加强照护服务监管与融合</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建立托育机构准入、运营、退出全流程监管机制，规范照护服务标准，保障婴幼儿安全</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衔接中医药事业发展，在托育服务中融入中医保健理念，开展婴幼儿中医推拿、食疗调理等特色服务</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推动托育服务与卫生健康、早期教育融合，建立婴幼儿健康监测与早期发展指导联动机制，促进婴幼儿健康成长。</w:t>
      </w:r>
    </w:p>
    <w:p w14:paraId="1D1A55A9">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60" w:name="_Toc4380"/>
      <w:bookmarkStart w:id="961" w:name="_Toc2692"/>
      <w:bookmarkStart w:id="962" w:name="_Toc17121"/>
      <w:bookmarkStart w:id="963" w:name="_Toc193112591"/>
      <w:bookmarkStart w:id="964" w:name="_Toc16727"/>
      <w:bookmarkStart w:id="965" w:name="_Toc839668116"/>
      <w:bookmarkStart w:id="966" w:name="_Toc96211445"/>
      <w:bookmarkStart w:id="967" w:name="_Toc185497882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促进青年全面发展</w:t>
      </w:r>
      <w:bookmarkEnd w:id="960"/>
      <w:bookmarkEnd w:id="961"/>
      <w:bookmarkEnd w:id="962"/>
      <w:bookmarkEnd w:id="963"/>
      <w:bookmarkEnd w:id="964"/>
      <w:bookmarkEnd w:id="965"/>
      <w:bookmarkEnd w:id="966"/>
      <w:bookmarkEnd w:id="967"/>
    </w:p>
    <w:p w14:paraId="5C08A27B">
      <w:pPr>
        <w:widowControl w:val="0"/>
        <w:numPr>
          <w:ilvl w:val="255"/>
          <w:numId w:val="0"/>
        </w:numPr>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加强青少年思想教育，聚焦青年成长成才需求，优化就业创业扶持，强化技能素养培育，加快青年发展型城市建设。</w:t>
      </w:r>
    </w:p>
    <w:p w14:paraId="70BBD7B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青少年</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思想教育</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加强未成年人思想道德建设，引导未成</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年人扣好人生</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第一粒扣子</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hint="eastAsia" w:ascii="Times New Roman" w:hAnsi="Times New Roman"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努力培养德智体美劳全面发展的社会主义建设者和接班人。坚持防治结合，强化法治宣传教育和精准教育矫治，增强未成年人尊法学法守法用法意识，发挥好亲情帮教作用，持续提升教育矫正</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家庭温度</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，构筑全方位、深层次、多维度闭环工作体系，坚决遏制未成年人违法犯罪。</w:t>
      </w:r>
    </w:p>
    <w:p w14:paraId="1BDE0F83">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守护青年健康成长底线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加强青少年防近视环境与行为干预，严格落实教室采光照明和课桌椅国家标准，指导学校开展视力健康科普，推广亲子户外体育活动，营造爱眼护眼氛围。加强校园霸凌防治，建立</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预防</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处置</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矫治</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追责</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闭环机制，制定校园欺凌认定标准与处置流程，及时保护受害者、惩戒欺凌者并联动家长</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对有偏差行为学生开展专业心理辅导与行为矫治。深化</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12355</w:t>
      </w:r>
      <w:r>
        <w:rPr>
          <w:rFonts w:hint="eastAsia" w:ascii="方正楷体_GBK" w:hAnsi="方正楷体_GBK" w:eastAsia="方正楷体_GBK" w:cs="方正楷体_GBK"/>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为青春护航</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自护教育品牌建设，持续开展心理健康宣教活动。加强未成年人控辍保学工作，做实留守和困境儿童帮扶服务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13B96B7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加快青年发展型城市建设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打造青年驿站，为来肇求职青年提供短期免费或低价住宿及配套服务。通过人才公寓，解决青年过渡性安居需求。开展城市青年化“微改造”，打造青年主题街区、公园等活力场景。健全青年来肇游学与实习实践支持机制，</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设立各类青年创客中心，给予青年创新创业指导和政策支持</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。聚焦青年教育、</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青年健康、</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就业创业、婚恋交友、养老育幼等核心关切完善政策供给，深化实施“肇青工程”，优化青年成长环境，</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提高毕业生留肇率</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4B000246">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68" w:name="_Toc8653"/>
      <w:bookmarkStart w:id="969" w:name="_Toc726158862"/>
      <w:bookmarkStart w:id="970" w:name="_Toc19107180"/>
      <w:bookmarkStart w:id="971" w:name="_Toc1536756204"/>
      <w:bookmarkStart w:id="972" w:name="_Toc18657"/>
      <w:bookmarkStart w:id="973" w:name="_Toc25375"/>
      <w:bookmarkStart w:id="974" w:name="_Toc25963"/>
      <w:bookmarkStart w:id="975" w:name="_Toc78973905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推进养老服务体系建设</w:t>
      </w:r>
      <w:bookmarkEnd w:id="968"/>
      <w:bookmarkEnd w:id="969"/>
      <w:bookmarkEnd w:id="970"/>
      <w:bookmarkEnd w:id="971"/>
      <w:bookmarkEnd w:id="972"/>
      <w:bookmarkEnd w:id="973"/>
      <w:bookmarkEnd w:id="974"/>
      <w:bookmarkEnd w:id="975"/>
    </w:p>
    <w:p w14:paraId="76374099">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提质升级养老服务供给，大力发展银发经济，优化养老产业发展环境，提升养老服务质量，守护老年群体幸福晚年。</w:t>
      </w:r>
    </w:p>
    <w:p w14:paraId="0F2ACB8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提升养老服务品质。</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推进居家养老服务提质，</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加强无障碍环境建设</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，衔接智慧基建，推动智能穿戴设备、家庭养老床位适老化改造普及，实现老人安全监测、紧急呼叫等服务智能化。为高龄、失能老人提供上门护理、助餐助浴、康复保健等服务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。支持</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社区建设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嵌入式</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养老服务中心，整合日间照料、文化娱乐、健康监测功能</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在农村地区推广</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村级互助养老服务站+乡镇区域性养老服务中心</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模式。优化养老机构布局，完善医养结合服务网络建设，鼓励新增医养结合机构，到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期末，养老机构护理型床位数占比不低于85%。鼓励和引导普通高校、职业院校（含技工院校）增设银发经济相关专业，实施</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南粤家政</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养老服务试点项目，对接引入港澳地区养老服务培训、评价标准及相关经验做法，加强养老护理人才队伍建设。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丰富</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老年教育</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，开设“老年数字素养课堂”，依托高校资源创建“社区嵌入式老年学校”，将老年教育与社区养老服务融合，丰富老人精神文化生活。​</w:t>
      </w:r>
    </w:p>
    <w:p w14:paraId="72100B50">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大力发展银发经济</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探索谋划在肇庆新区、肇庆高新区、</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大型产业集聚区</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等地区发展银发经济。</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培育发展</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康复辅助器具、抗衰老等业态，推进养老用品创新中心、企业技术中心等科技创新平台建设。鼓励企业联合高校、科研院所、医疗机构，开展疾病预防、诊断、治疗、康复、陪护等相关产品药物和技术科技攻关、临床研究，利用肇庆南药资源开发具有肇庆特色的老年人药品食品等。因地制宜开发适合老年人的特色观光旅游、文化体验等旅游产品和旅游路线，推进保健养生、康复疗养、健康养老等森林康养产业发展，探索旅居养老模式</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，打造粤港澳大湾区康养基地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。积极发展智慧健康养老场景，推进新一代信息技术以及人工智能、可穿戴设备、服务机器人等智能设施设备在居家、社区、机构等养老场景集成应用。</w:t>
      </w:r>
    </w:p>
    <w:p w14:paraId="45202D5C">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优化养老市场环境</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支持企业参与银发经济发展，加大对银发经济企业的信贷支持力度。积极发展商业医疗保险，稳步推进长期护理保险制度。积极对接香港长者医疗券大湾区试点计划。完善银发经济行业标准，积极对接粤港澳大湾区养老服务标准，提高</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养老服务水平和在大湾区的竞争力。促进企业开展老年产品和服务质量测评、验证和认证。加强银发经济领域信用体系建设，建立健全银发企业和个人信用档案。加强保健食品生产环节监管，严守安全底线。</w:t>
      </w:r>
    </w:p>
    <w:tbl>
      <w:tblPr>
        <w:tblStyle w:val="23"/>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46D5C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9071" w:type="dxa"/>
            <w:tcBorders>
              <w:bottom w:val="single" w:color="auto" w:sz="4" w:space="0"/>
            </w:tcBorders>
            <w:vAlign w:val="center"/>
          </w:tcPr>
          <w:p w14:paraId="605C46E9">
            <w:pPr>
              <w:widowControl w:val="0"/>
              <w:kinsoku/>
              <w:overflowPunct w:val="0"/>
              <w:autoSpaceDE/>
              <w:autoSpaceDN/>
              <w:adjustRightInd/>
              <w:snapToGrid/>
              <w:spacing w:line="400" w:lineRule="exact"/>
              <w:jc w:val="center"/>
              <w:rPr>
                <w:rFonts w:ascii="Times New Roman" w:hAnsi="Times New Roman" w:cs="Times New Roman"/>
                <w:snapToGrid/>
                <w:color w:val="000000" w:themeColor="text1"/>
                <w:kern w:val="21"/>
                <w:sz w:val="32"/>
                <w:szCs w:val="32"/>
                <w14:textFill>
                  <w14:solidFill>
                    <w14:schemeClr w14:val="tx1"/>
                  </w14:solidFill>
                </w14:textFill>
              </w:rPr>
            </w:pPr>
            <w:r>
              <w:rPr>
                <w:rFonts w:ascii="Times New Roman" w:hAnsi="Times New Roman" w:eastAsia="方正小标宋简体" w:cs="Times New Roman"/>
                <w:snapToGrid/>
                <w:color w:val="000000" w:themeColor="text1"/>
                <w:kern w:val="21"/>
                <w:sz w:val="32"/>
                <w:szCs w:val="32"/>
                <w14:textFill>
                  <w14:solidFill>
                    <w14:schemeClr w14:val="tx1"/>
                  </w14:solidFill>
                </w14:textFill>
              </w:rPr>
              <w:t>专栏</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1</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9</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十</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五</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五</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小标宋简体" w:cs="Times New Roman"/>
                <w:snapToGrid/>
                <w:color w:val="000000" w:themeColor="text1"/>
                <w:kern w:val="21"/>
                <w:sz w:val="32"/>
                <w:szCs w:val="32"/>
                <w14:textFill>
                  <w14:solidFill>
                    <w14:schemeClr w14:val="tx1"/>
                  </w14:solidFill>
                </w14:textFill>
              </w:rPr>
              <w:t>时期</w:t>
            </w:r>
            <w:r>
              <w:rPr>
                <w:rFonts w:hint="eastAsia" w:ascii="Times New Roman" w:hAnsi="Times New Roman" w:eastAsia="方正小标宋简体" w:cs="Times New Roman"/>
                <w:snapToGrid/>
                <w:color w:val="000000" w:themeColor="text1"/>
                <w:kern w:val="21"/>
                <w:sz w:val="32"/>
                <w:szCs w:val="32"/>
                <w:lang w:eastAsia="zh-CN"/>
                <w14:textFill>
                  <w14:solidFill>
                    <w14:schemeClr w14:val="tx1"/>
                  </w14:solidFill>
                </w14:textFill>
              </w:rPr>
              <w:t>肇庆市人口高质量发展</w:t>
            </w:r>
            <w:r>
              <w:rPr>
                <w:rFonts w:ascii="Times New Roman" w:hAnsi="Times New Roman" w:eastAsia="方正小标宋简体" w:cs="Times New Roman"/>
                <w:snapToGrid/>
                <w:color w:val="000000" w:themeColor="text1"/>
                <w:kern w:val="21"/>
                <w:sz w:val="32"/>
                <w:szCs w:val="32"/>
                <w:lang w:eastAsia="zh-CN"/>
                <w14:textFill>
                  <w14:solidFill>
                    <w14:schemeClr w14:val="tx1"/>
                  </w14:solidFill>
                </w14:textFill>
              </w:rPr>
              <w:t>重点项目</w:t>
            </w:r>
          </w:p>
        </w:tc>
      </w:tr>
      <w:tr w14:paraId="09CB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0" w:hRule="atLeast"/>
          <w:jc w:val="center"/>
        </w:trPr>
        <w:tc>
          <w:tcPr>
            <w:tcW w:w="9071" w:type="dxa"/>
            <w:tcBorders>
              <w:top w:val="single" w:color="auto" w:sz="4" w:space="0"/>
              <w:left w:val="single" w:color="auto" w:sz="4" w:space="0"/>
              <w:bottom w:val="single" w:color="auto" w:sz="4" w:space="0"/>
              <w:right w:val="single" w:color="auto" w:sz="4" w:space="0"/>
            </w:tcBorders>
            <w:vAlign w:val="center"/>
          </w:tcPr>
          <w:p w14:paraId="39FDC9BA">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一、生育医疗服务项目</w:t>
            </w:r>
          </w:p>
          <w:p w14:paraId="484003BF">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肇庆市妇产生殖医学中心项目。</w:t>
            </w:r>
          </w:p>
          <w:p w14:paraId="618640E7">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二、养老服务体系建设项目</w:t>
            </w:r>
          </w:p>
          <w:p w14:paraId="19AF1BC4">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28"/>
                <w:szCs w:val="28"/>
                <w:lang w:eastAsia="zh-Hans"/>
                <w14:textFill>
                  <w14:solidFill>
                    <w14:schemeClr w14:val="tx1"/>
                  </w14:solidFill>
                </w14:textFill>
              </w:rPr>
              <w:t>端州区智慧养老服务配套设施项目</w:t>
            </w:r>
            <w:r>
              <w:rPr>
                <w:rFonts w:ascii="Times New Roman" w:hAnsi="Times New Roman" w:eastAsia="方正仿宋_GBK" w:cs="Times New Roman"/>
                <w:snapToGrid/>
                <w:color w:val="000000" w:themeColor="text1"/>
                <w:kern w:val="21"/>
                <w:sz w:val="28"/>
                <w:szCs w:val="28"/>
                <w:lang w:eastAsia="zh-Hans"/>
                <w14:textFill>
                  <w14:solidFill>
                    <w14:schemeClr w14:val="tx1"/>
                  </w14:solidFill>
                </w14:textFill>
              </w:rPr>
              <w:t>、</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肇庆新区康乐花园养老托育项目、高要区三级养老服务网络体系</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项目</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、高要区5间公办敬老院升级改造项目、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金利镇医养结合颐养院项目、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高要区</w:t>
            </w: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江北片区域性康养服务中心项目、四会市综合养老服务中心项目、广宁县三级养老服务网络体系项目、德庆县三级养老服务网络项目、封开县三级养老服务网络体系项目、封开县县级特困供养机构项目、怀集县康养服务中心项目、怀集县三级养老服务网络项目、肇庆高新区社区健康共融服务中心项目。</w:t>
            </w:r>
          </w:p>
          <w:p w14:paraId="2ADF4471">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三、医养结合设施项目</w:t>
            </w:r>
          </w:p>
          <w:p w14:paraId="7250B0AE">
            <w:pPr>
              <w:widowControl w:val="0"/>
              <w:kinsoku/>
              <w:overflowPunct w:val="0"/>
              <w:autoSpaceDE/>
              <w:autoSpaceDN/>
              <w:adjustRightInd/>
              <w:snapToGrid/>
              <w:spacing w:line="400" w:lineRule="exact"/>
              <w:ind w:firstLine="560" w:firstLineChars="200"/>
              <w:jc w:val="both"/>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肇庆复退军人医院二期工程、端州区人民医院康复护理医疗服务网络建设工程、端州区华佗医院康复与老年护理能力提升项目、广宁县中医院医养结合服务能力项目。</w:t>
            </w:r>
          </w:p>
          <w:p w14:paraId="0E1608C1">
            <w:pPr>
              <w:widowControl w:val="0"/>
              <w:kinsoku/>
              <w:overflowPunct w:val="0"/>
              <w:autoSpaceDE/>
              <w:autoSpaceDN/>
              <w:adjustRightInd/>
              <w:snapToGrid/>
              <w:spacing w:line="400" w:lineRule="exact"/>
              <w:ind w:firstLine="560" w:firstLineChars="200"/>
              <w:jc w:val="both"/>
              <w:rPr>
                <w:rFonts w:ascii="Times New Roman" w:hAnsi="Times New Roman" w:eastAsia="黑体" w:cs="黑体"/>
                <w:snapToGrid/>
                <w:color w:val="000000" w:themeColor="text1"/>
                <w:kern w:val="21"/>
                <w:sz w:val="28"/>
                <w:szCs w:val="28"/>
                <w:lang w:eastAsia="zh-CN"/>
                <w14:textFill>
                  <w14:solidFill>
                    <w14:schemeClr w14:val="tx1"/>
                  </w14:solidFill>
                </w14:textFill>
              </w:rPr>
            </w:pPr>
            <w:r>
              <w:rPr>
                <w:rFonts w:hint="eastAsia" w:ascii="Times New Roman" w:hAnsi="Times New Roman" w:eastAsia="黑体" w:cs="黑体"/>
                <w:snapToGrid/>
                <w:color w:val="000000" w:themeColor="text1"/>
                <w:kern w:val="21"/>
                <w:sz w:val="28"/>
                <w:szCs w:val="28"/>
                <w:lang w:eastAsia="zh-CN"/>
                <w14:textFill>
                  <w14:solidFill>
                    <w14:schemeClr w14:val="tx1"/>
                  </w14:solidFill>
                </w14:textFill>
              </w:rPr>
              <w:t>四、普惠托育服务</w:t>
            </w:r>
          </w:p>
          <w:p w14:paraId="7C9AB7FA">
            <w:pPr>
              <w:widowControl w:val="0"/>
              <w:kinsoku/>
              <w:overflowPunct w:val="0"/>
              <w:autoSpaceDE/>
              <w:autoSpaceDN/>
              <w:adjustRightInd/>
              <w:snapToGrid/>
              <w:spacing w:line="400" w:lineRule="exact"/>
              <w:ind w:firstLine="560" w:firstLineChars="200"/>
              <w:jc w:val="both"/>
              <w:rPr>
                <w:rFonts w:ascii="Times New Roman" w:hAnsi="Times New Roman" w:eastAsia="宋体" w:cs="Times New Roman"/>
                <w:snapToGrid/>
                <w:color w:val="000000" w:themeColor="text1"/>
                <w:kern w:val="21"/>
                <w:lang w:eastAsia="zh-CN"/>
                <w14:textFill>
                  <w14:solidFill>
                    <w14:schemeClr w14:val="tx1"/>
                  </w14:solidFill>
                </w14:textFill>
              </w:rPr>
            </w:pPr>
            <w:r>
              <w:rPr>
                <w:rFonts w:ascii="Times New Roman" w:hAnsi="Times New Roman" w:eastAsia="方正仿宋_GBK" w:cs="Times New Roman"/>
                <w:snapToGrid/>
                <w:color w:val="000000" w:themeColor="text1"/>
                <w:kern w:val="21"/>
                <w:sz w:val="28"/>
                <w:szCs w:val="28"/>
                <w:lang w:eastAsia="zh-CN"/>
                <w14:textFill>
                  <w14:solidFill>
                    <w14:schemeClr w14:val="tx1"/>
                  </w14:solidFill>
                </w14:textFill>
              </w:rPr>
              <w:t>肇庆市普惠托育综合服务能力提升项目</w:t>
            </w:r>
            <w:r>
              <w:rPr>
                <w:rFonts w:hint="eastAsia" w:ascii="Times New Roman" w:hAnsi="Times New Roman" w:eastAsia="方正仿宋_GBK" w:cs="Times New Roman"/>
                <w:snapToGrid/>
                <w:color w:val="000000" w:themeColor="text1"/>
                <w:kern w:val="21"/>
                <w:sz w:val="28"/>
                <w:szCs w:val="28"/>
                <w:lang w:eastAsia="zh-CN"/>
                <w14:textFill>
                  <w14:solidFill>
                    <w14:schemeClr w14:val="tx1"/>
                  </w14:solidFill>
                </w14:textFill>
              </w:rPr>
              <w:t>、鼎湖区（肇庆新区）人口老龄化公立医疗卫生机构托育综合服务中心项目。</w:t>
            </w:r>
          </w:p>
        </w:tc>
      </w:tr>
    </w:tbl>
    <w:p w14:paraId="4DCBF161">
      <w:pPr>
        <w:pStyle w:val="8"/>
        <w:widowControl w:val="0"/>
        <w:kinsoku/>
        <w:overflowPunct w:val="0"/>
        <w:autoSpaceDE/>
        <w:autoSpaceDN/>
        <w:snapToGrid/>
        <w:spacing w:after="0" w:line="240" w:lineRule="exact"/>
        <w:rPr>
          <w:rFonts w:ascii="Times New Roman" w:hAnsi="Times New Roman" w:eastAsia="方正仿宋_GBK"/>
          <w:snapToGrid/>
          <w:color w:val="000000" w:themeColor="text1"/>
          <w:kern w:val="21"/>
          <w:sz w:val="32"/>
          <w:szCs w:val="21"/>
          <w:lang w:eastAsia="zh-CN"/>
          <w14:textFill>
            <w14:solidFill>
              <w14:schemeClr w14:val="tx1"/>
            </w14:solidFill>
          </w14:textFill>
        </w:rPr>
      </w:pPr>
      <w:bookmarkStart w:id="976" w:name="_Toc24429"/>
    </w:p>
    <w:p w14:paraId="30611A77">
      <w:pPr>
        <w:numPr>
          <w:ilvl w:val="255"/>
          <w:numId w:val="0"/>
        </w:numPr>
        <w:kinsoku/>
        <w:autoSpaceDE/>
        <w:autoSpaceDN/>
        <w:adjustRightInd/>
        <w:snapToGrid/>
        <w:textAlignment w:val="auto"/>
        <w:rPr>
          <w:rFonts w:ascii="Times New Roman" w:hAnsi="Times New Roman" w:eastAsia="方正仿宋_GBK" w:cs="Times New Roman"/>
          <w:snapToGrid/>
          <w:color w:val="000000" w:themeColor="text1"/>
          <w:kern w:val="21"/>
          <w:sz w:val="32"/>
          <w:lang w:eastAsia="zh-CN"/>
          <w14:textFill>
            <w14:solidFill>
              <w14:schemeClr w14:val="tx1"/>
            </w14:solidFill>
          </w14:textFill>
        </w:rPr>
      </w:pPr>
      <w:bookmarkStart w:id="977" w:name="_Toc2020254260"/>
      <w:bookmarkStart w:id="978" w:name="_Toc5357"/>
      <w:bookmarkStart w:id="979" w:name="_Toc25231"/>
      <w:bookmarkStart w:id="980" w:name="_Toc629476649"/>
      <w:bookmarkStart w:id="981" w:name="_Toc2078906690"/>
      <w:bookmarkStart w:id="982" w:name="_Toc548136298"/>
      <w:bookmarkStart w:id="983" w:name="_Toc24272"/>
      <w:r>
        <w:rPr>
          <w:rFonts w:hint="eastAsia" w:ascii="Times New Roman" w:hAnsi="Times New Roman" w:eastAsia="方正仿宋_GBK" w:cs="Times New Roman"/>
          <w:snapToGrid/>
          <w:color w:val="000000" w:themeColor="text1"/>
          <w:kern w:val="21"/>
          <w:sz w:val="32"/>
          <w:lang w:eastAsia="zh-CN"/>
          <w14:textFill>
            <w14:solidFill>
              <w14:schemeClr w14:val="tx1"/>
            </w14:solidFill>
          </w14:textFill>
        </w:rPr>
        <w:br w:type="page"/>
      </w:r>
    </w:p>
    <w:p w14:paraId="54EB770D">
      <w:pPr>
        <w:pStyle w:val="2"/>
        <w:adjustRightInd/>
        <w:snapToGrid/>
        <w:spacing w:beforeAutospacing="0" w:afterAutospacing="0" w:line="400" w:lineRule="exact"/>
        <w:rPr>
          <w:rFonts w:hint="default" w:ascii="Times New Roman" w:hAnsi="Times New Roman" w:cs="宋体"/>
          <w:b w:val="0"/>
        </w:rPr>
      </w:pPr>
    </w:p>
    <w:p w14:paraId="6184F446">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第十</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七</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强化民生保障，推进共同富裕</w:t>
      </w:r>
      <w:bookmarkEnd w:id="976"/>
      <w:bookmarkEnd w:id="977"/>
      <w:bookmarkEnd w:id="978"/>
      <w:bookmarkEnd w:id="979"/>
      <w:bookmarkEnd w:id="980"/>
      <w:bookmarkEnd w:id="981"/>
      <w:bookmarkEnd w:id="982"/>
      <w:bookmarkEnd w:id="983"/>
    </w:p>
    <w:p w14:paraId="271BE3B3">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p>
    <w:p w14:paraId="724BF09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牢牢把握共同富裕的目标要求，坚持尽力而为、量力而行，</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加大保障和改善民生力度，加快激活人民增收新引擎，兜牢困难群体底线，提高人民生活品质。</w:t>
      </w:r>
    </w:p>
    <w:p w14:paraId="005FA2D6">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84" w:name="_Toc20071"/>
      <w:bookmarkStart w:id="985" w:name="_Toc5816"/>
      <w:bookmarkStart w:id="986" w:name="_Toc11527"/>
      <w:bookmarkStart w:id="987" w:name="_Toc11411"/>
      <w:bookmarkStart w:id="988" w:name="_Toc710"/>
      <w:bookmarkStart w:id="989" w:name="_Toc569286505"/>
      <w:bookmarkStart w:id="990" w:name="_Toc1947507456"/>
      <w:bookmarkStart w:id="991" w:name="_Toc275874002"/>
      <w:bookmarkStart w:id="992" w:name="_Toc60857259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第一节 </w:t>
      </w:r>
      <w:bookmarkEnd w:id="984"/>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 促进高质量充分就业</w:t>
      </w:r>
      <w:bookmarkEnd w:id="98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与城乡居民增收</w:t>
      </w:r>
      <w:bookmarkEnd w:id="986"/>
      <w:bookmarkEnd w:id="987"/>
      <w:bookmarkEnd w:id="988"/>
      <w:bookmarkEnd w:id="989"/>
      <w:bookmarkEnd w:id="990"/>
      <w:bookmarkEnd w:id="991"/>
      <w:bookmarkEnd w:id="992"/>
    </w:p>
    <w:p w14:paraId="4D177F75">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锚定高质量充分就业目标，打好稳就业政策组合拳，优化供需精准对接，稳岗位、扩渠道、提质量，筑牢就业保障防线。</w:t>
      </w:r>
    </w:p>
    <w:p w14:paraId="42B73F4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打好稳就业政策组合拳。</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促进更充分更高质量就业，推动经济社会发展与就业促进协调联动。重点引进中小微企业、民营经济主导的先进制造业、现代服务业等就业密集型项目，确保产业发展与就业扩容提质同步推进。健全就业影响评估机制，推动跨部门联动，推动政策精准落地。</w:t>
      </w:r>
    </w:p>
    <w:p w14:paraId="38600D02">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提升就业容量与质量。</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就业优先理念，支持企事业单位和市场主体创造就业岗位，加快提升城乡居民人均可支配收入。发展吸纳就业能力强的产业，扩充中小企业、民营经济、现代服务业就业容量，增加资本、技术、智力密集型产业就业机会，支持市场主体稳岗扩岗。</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加强大规模职业技能提升培训</w:t>
      </w:r>
      <w:r>
        <w:rPr>
          <w:rFonts w:ascii="Times New Roman" w:hAnsi="Times New Roman" w:eastAsia="方正仿宋_GBK" w:cs="Times New Roman"/>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深化</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肇庆名厨</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肇庆工匠</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肇庆管家</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等品牌建设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，提高劳动者与产业需求匹配度</w:t>
      </w:r>
      <w:r>
        <w:rPr>
          <w:rFonts w:ascii="Times New Roman" w:hAnsi="Times New Roman" w:eastAsia="方正仿宋_GBK" w:cs="Times New Roman"/>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释放现代服务业就业潜力，创新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平台+灵活就业</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模式。</w:t>
      </w:r>
    </w:p>
    <w:p w14:paraId="7D11FEF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健全就业公共服务体系。</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加快</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肇庆高新区</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粤港澳大湾区和谐劳动关系高质量发展改革创新试点建设，促进人力资源服务高质量发展，并逐步推广应用至鼎湖区、四会市、德庆县等地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促进服务资源向基层延伸，提供岗位推送、政策咨询</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家门口服务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，鼓励创业和多渠道灵活就业。完善公共就业服务网络，推广德庆</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就业推荐官</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做法，建设更多就业驿站、支持人力资源服务机构做大做强。强化就业援助机制，坚持把高校毕业生、退役军人等群体就业作为重中之重，积极扩大青年群体就业率，鼓励青年投身重点领域、重点行业、城乡基层和中小微企业就业创业</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支持和规范发展生活服务类、多媒体和创意工作类等新就业形态，切实维护新就业形态劳动者劳动保障权益。</w:t>
      </w:r>
    </w:p>
    <w:p w14:paraId="64352C6F">
      <w:pPr>
        <w:pStyle w:val="31"/>
        <w:widowControl w:val="0"/>
        <w:kinsoku/>
        <w:overflowPunct w:val="0"/>
        <w:autoSpaceDE/>
        <w:autoSpaceDN/>
        <w:adjustRightInd/>
        <w:snapToGrid/>
        <w:spacing w:line="590" w:lineRule="exact"/>
        <w:jc w:val="both"/>
        <w:rPr>
          <w:rFonts w:eastAsia="方正仿宋_GBK" w:cs="Times New Roman"/>
          <w:snapToGrid/>
          <w:color w:val="000000" w:themeColor="text1"/>
          <w:kern w:val="21"/>
          <w:lang w:eastAsia="zh-CN"/>
          <w14:textFill>
            <w14:solidFill>
              <w14:schemeClr w14:val="tx1"/>
            </w14:solidFill>
          </w14:textFill>
        </w:rPr>
      </w:pPr>
      <w:r>
        <w:rPr>
          <w:rFonts w:eastAsia="方正仿宋_GBK" w:cs="仿宋_GB2312"/>
          <w:snapToGrid/>
          <w:color w:val="000000" w:themeColor="text1"/>
          <w:kern w:val="21"/>
          <w:lang w:eastAsia="zh-Hans"/>
          <w14:textFill>
            <w14:solidFill>
              <w14:schemeClr w14:val="tx1"/>
            </w14:solidFill>
          </w14:textFill>
        </w:rPr>
        <w:t>促进城乡居民增收</w:t>
      </w:r>
      <w:r>
        <w:rPr>
          <w:rFonts w:hint="eastAsia" w:eastAsia="方正仿宋_GBK" w:cs="仿宋_GB2312"/>
          <w:snapToGrid/>
          <w:color w:val="000000" w:themeColor="text1"/>
          <w:kern w:val="21"/>
          <w:lang w:eastAsia="zh-CN"/>
          <w14:textFill>
            <w14:solidFill>
              <w14:schemeClr w14:val="tx1"/>
            </w14:solidFill>
          </w14:textFill>
        </w:rPr>
        <w:t>。</w:t>
      </w:r>
      <w:r>
        <w:rPr>
          <w:rFonts w:hint="eastAsia" w:eastAsia="方正仿宋_GBK" w:cs="Times New Roman"/>
          <w:snapToGrid/>
          <w:color w:val="000000" w:themeColor="text1"/>
          <w:kern w:val="21"/>
          <w:lang w:eastAsia="zh-CN"/>
          <w14:textFill>
            <w14:solidFill>
              <w14:schemeClr w14:val="tx1"/>
            </w14:solidFill>
          </w14:textFill>
        </w:rPr>
        <w:t>健全工资合理增长机制，完善生产要素由市场评价贡献、按贡献决定报酬机制，探索通过土地、资本等要素使用权、收益权增加中低收入群体要素收入。完善与经济发展相适应的最低工资标准调整机制，完善企业薪酬调查及人工成本监测、企业工资集体协商等制度，健全农民工工资支付机制。充分发挥就业补贴政策，降低企业用工成本、激励吸纳就业困难人员就业。规范收入分配秩序和财富积累机制</w:t>
      </w:r>
      <w:r>
        <w:rPr>
          <w:rFonts w:eastAsia="方正仿宋_GBK" w:cs="Times New Roman"/>
          <w:snapToGrid/>
          <w:color w:val="000000" w:themeColor="text1"/>
          <w:kern w:val="21"/>
          <w:lang w:eastAsia="zh-CN"/>
          <w14:textFill>
            <w14:solidFill>
              <w14:schemeClr w14:val="tx1"/>
            </w14:solidFill>
          </w14:textFill>
        </w:rPr>
        <w:t>，拓宽租金、股息、红利等增收渠道，多渠道增加城乡居民财产性收入</w:t>
      </w:r>
      <w:r>
        <w:rPr>
          <w:rFonts w:hint="eastAsia" w:eastAsia="方正仿宋_GBK" w:cs="Times New Roman"/>
          <w:snapToGrid/>
          <w:color w:val="000000" w:themeColor="text1"/>
          <w:kern w:val="21"/>
          <w:lang w:eastAsia="zh-CN"/>
          <w14:textFill>
            <w14:solidFill>
              <w14:schemeClr w14:val="tx1"/>
            </w14:solidFill>
          </w14:textFill>
        </w:rPr>
        <w:t>，</w:t>
      </w:r>
      <w:r>
        <w:rPr>
          <w:rFonts w:eastAsia="方正仿宋_GBK" w:cs="Times New Roman"/>
          <w:snapToGrid/>
          <w:color w:val="000000" w:themeColor="text1"/>
          <w:kern w:val="21"/>
          <w:lang w:eastAsia="zh-CN"/>
          <w14:textFill>
            <w14:solidFill>
              <w14:schemeClr w14:val="tx1"/>
            </w14:solidFill>
          </w14:textFill>
        </w:rPr>
        <w:t>支持勤劳创新合法致富</w:t>
      </w:r>
      <w:r>
        <w:rPr>
          <w:rFonts w:hint="eastAsia" w:eastAsia="方正仿宋_GBK" w:cs="Times New Roman"/>
          <w:snapToGrid/>
          <w:color w:val="000000" w:themeColor="text1"/>
          <w:kern w:val="21"/>
          <w:lang w:eastAsia="zh-CN"/>
          <w14:textFill>
            <w14:solidFill>
              <w14:schemeClr w14:val="tx1"/>
            </w14:solidFill>
          </w14:textFill>
        </w:rPr>
        <w:t>，</w:t>
      </w:r>
      <w:r>
        <w:rPr>
          <w:rFonts w:eastAsia="方正仿宋_GBK" w:cs="Times New Roman"/>
          <w:snapToGrid/>
          <w:color w:val="000000" w:themeColor="text1"/>
          <w:kern w:val="21"/>
          <w:lang w:eastAsia="zh-CN"/>
          <w14:textFill>
            <w14:solidFill>
              <w14:schemeClr w14:val="tx1"/>
            </w14:solidFill>
          </w14:textFill>
        </w:rPr>
        <w:t>鼓励先富带后富促共富</w:t>
      </w:r>
      <w:r>
        <w:rPr>
          <w:rFonts w:hint="eastAsia" w:eastAsia="方正仿宋_GBK" w:cs="Times New Roman"/>
          <w:snapToGrid/>
          <w:color w:val="000000" w:themeColor="text1"/>
          <w:kern w:val="21"/>
          <w:lang w:eastAsia="zh-CN"/>
          <w14:textFill>
            <w14:solidFill>
              <w14:schemeClr w14:val="tx1"/>
            </w14:solidFill>
          </w14:textFill>
        </w:rPr>
        <w:t>。完善再分配调节机制，发展慈善事业，改善收入和财富分配格局。</w:t>
      </w:r>
    </w:p>
    <w:p w14:paraId="344C6148">
      <w:pPr>
        <w:widowControl w:val="0"/>
        <w:numPr>
          <w:ilvl w:val="255"/>
          <w:numId w:val="0"/>
        </w:numPr>
        <w:kinsoku/>
        <w:overflowPunct w:val="0"/>
        <w:autoSpaceDE/>
        <w:autoSpaceDN/>
        <w:adjustRightInd/>
        <w:snapToGrid/>
        <w:spacing w:before="156" w:beforeLines="50" w:after="156" w:afterLines="50" w:line="61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993" w:name="_Toc32556"/>
      <w:bookmarkStart w:id="994" w:name="_Toc14267"/>
      <w:bookmarkStart w:id="995" w:name="_Toc6947"/>
      <w:bookmarkStart w:id="996" w:name="_Toc1849722081"/>
      <w:bookmarkStart w:id="997" w:name="_Toc15004444"/>
      <w:bookmarkStart w:id="998" w:name="_Toc28787"/>
      <w:bookmarkStart w:id="999" w:name="_Toc1088160741"/>
      <w:bookmarkStart w:id="1000" w:name="_Toc1476549014"/>
      <w:bookmarkStart w:id="1001" w:name="_Toc20941"/>
      <w:bookmarkStart w:id="1002" w:name="_Toc1693980980"/>
      <w:bookmarkStart w:id="1003" w:name="_Toc10481"/>
      <w:bookmarkStart w:id="1004" w:name="_Toc469455939"/>
      <w:bookmarkStart w:id="1005" w:name="_Toc515757450"/>
      <w:bookmarkStart w:id="1006" w:name="_Toc14532"/>
      <w:bookmarkStart w:id="1007" w:name="_Toc3724"/>
      <w:bookmarkStart w:id="1008" w:name="_Toc136160986"/>
      <w:bookmarkStart w:id="1009" w:name="_Toc1197179713"/>
      <w:bookmarkStart w:id="1010" w:name="_Toc505834974"/>
      <w:bookmarkStart w:id="1011" w:name="_Toc112073977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健全多层次社会保障体系</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14:paraId="081C8E00">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聚焦民生保障提质，织密织牢社保兜底网络，健全多层次社会保障体系，切实增强群众获得感与安全感。</w:t>
      </w:r>
    </w:p>
    <w:p w14:paraId="1555EA1D">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完善覆盖全民的社会保险体系。</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健全社会保险体系，推进多支柱养老保险体系建设，稳妥实施渐进式延迟法定退休年龄，落实高龄老人政府津贴、失能老年人养老护理、服务补贴</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。推进基本医保全民参保计划，确保参保率稳定在95%以上。</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继续对残疾人等困难群体落实参保缴费补贴政策，助力其应保尽保，推动新业态从业人员、灵活就业人员参保</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，强化就业新业态群体权益保障，实现社会保险应保尽保、精准覆盖。</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医疗保障制度改革，健全待遇调整和筹资运行机制，完善重特大疾病医疗保险和救助制度，积极促进商业健康保险发展，不断创新优化服务。按照国家和省部署调整退休人员基本养老金，逐步提高城乡居民基础养老金，建立健全伤残津贴、供养亲属抚恤金最低保障机制，并根据经济社会发展水平动态调整。</w:t>
      </w:r>
    </w:p>
    <w:p w14:paraId="4E24775B">
      <w:pPr>
        <w:widowControl w:val="0"/>
        <w:kinsoku/>
        <w:overflowPunct w:val="0"/>
        <w:autoSpaceDE/>
        <w:autoSpaceDN/>
        <w:adjustRightInd/>
        <w:snapToGrid/>
        <w:spacing w:line="61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优化社会事务管理服务。</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健全分层分类的社会救助体系，强化社会救助兜底保障作用，落实低保、特困人员供养、临时救助等政策，加快发展社会福利事业。构建多元化社会救助服务体系，为困难群体提供精准化帮扶。大力发展公益慈善事业，规范培育慈善会、红十字会等本土慈善组织，培育本土化慈善品牌，引导多元社会力量有序参与社会公益事业建设。</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加强殡葬领域综合整治，推进</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殡仪馆升级改造和公益性公墓建设，</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补齐县、镇两级公益性</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公墓</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建设短板，建立健全基本殡葬服务制度。</w:t>
      </w:r>
    </w:p>
    <w:p w14:paraId="33B855A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完善住房供给和保障体系。</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有效扩大保障性租赁住房供给，探索配售型保障性住房供给。优化公租房保障机制，结合实际，扩大公租房保障范围，持续发放公租房租赁补贴，将更多新就业大学生、进城务工人员等群众纳入住房保障体系。发展和培育住房租赁市场，培育特色租赁业态，鼓励房企将闲置商品房转化为长租房，稳定租赁市场供应。规范住房租赁市场，加强租赁市场监管，定期开展市场检查，严厉打击违规租赁行为。</w:t>
      </w:r>
    </w:p>
    <w:p w14:paraId="7092954B">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12" w:name="_Toc162756882"/>
      <w:bookmarkStart w:id="1013" w:name="_Toc19447"/>
      <w:bookmarkStart w:id="1014" w:name="_Toc18890"/>
      <w:bookmarkStart w:id="1015" w:name="_Toc1605352738"/>
      <w:bookmarkStart w:id="1016" w:name="_Toc29063"/>
      <w:bookmarkStart w:id="1017" w:name="_Toc26429"/>
      <w:bookmarkStart w:id="1018" w:name="_Toc1226775688"/>
      <w:bookmarkStart w:id="1019" w:name="_Toc1374314501"/>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保障重点群体基本权益</w:t>
      </w:r>
      <w:bookmarkEnd w:id="1012"/>
      <w:bookmarkEnd w:id="1013"/>
      <w:bookmarkEnd w:id="1014"/>
      <w:bookmarkEnd w:id="1015"/>
      <w:bookmarkEnd w:id="1016"/>
      <w:bookmarkEnd w:id="1017"/>
      <w:bookmarkEnd w:id="1018"/>
      <w:bookmarkEnd w:id="1019"/>
    </w:p>
    <w:p w14:paraId="6C1901B0">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聚焦低收入群体强化精准帮扶，维护老年人、残疾人等群体合法权益，推动重点群体深度融入发展大局，筑牢民生保障防线。</w:t>
      </w:r>
    </w:p>
    <w:p w14:paraId="65DF8A2F">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强化低收入群体帮扶</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强化防止返贫致贫对象帮扶，建立防止返贫监测体系，完善分类帮扶和动态调整机制，分类落实精准帮扶措施。因地制宜加强产业分类指导和长期培育，增强产业帮扶质效。持续做好就业帮扶，支持有条件的就业帮扶车间盘活利用、提档升级。健全基本生活救助制度，对符合条件的防止返贫致贫对象及时给予政策性保障、专项救助和临时救助。持续完善教育帮扶体系，拓宽全学段困难学生资助覆盖面，将符合条件的防止返贫致贫对象家庭学生纳入资助范围。继续实施分类向农村低保对象、特困人员倾斜政策，确保符合条件的防止返贫致贫对象纳入倾斜支持范围。持续加强基本住房安全和饮水安全保障，开展防止返贫致贫对象住房安全、饮水安全动态监测，符合条件的及时纳入政策支持范围。</w:t>
      </w:r>
    </w:p>
    <w:p w14:paraId="7797D6D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维护老年人、残疾人等群体权益</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完善老年人权益保障机制，推进适老化改造，优化老年人就医、出行、消费等公共服务，打击养老诈骗等违法犯罪行为，保障老年人合法财产与生命安全</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加强残疾人权益保障，健全残疾人康复服务体系，推进残疾人就业创业扶持，完善残疾人无障碍设施建设，保障残疾人平等参与社会生活</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关爱留守妇女等群体，健全关爱服务体系，加强心理健康辅导、权益保护等服务，营造全社会关心关爱重点群体的良好氛围。加强困境儿童分类保障，完善农村留守儿童、流动儿童、孤独症儿童关爱服务体系，健全孤儿和事实无人抚养儿童保障机制。切实维护军人军属、退役军人和其他优抚对象的合法权益，不断完善优待措施和扩大优待范围。</w:t>
      </w:r>
    </w:p>
    <w:p w14:paraId="242E3E3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促进重点群体融入发展</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坚持普惠性与公平性相统一，保障重点群体平等享有发展机会</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加强重点群体权益保护法治宣传，</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增强</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群体自我维权意识与能力</w:t>
      </w:r>
      <w:r>
        <w:rPr>
          <w:rFonts w:hint="eastAsia" w:ascii="Times New Roman" w:hAnsi="Times New Roman"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建立重点群体权益保障投诉举报机制，畅通维权渠道，及时化解权益纠纷，让各类群体在肇庆共享发展成果、共赴共同富裕之路。</w:t>
      </w:r>
    </w:p>
    <w:p w14:paraId="636E66E2">
      <w:pPr>
        <w:pStyle w:val="3"/>
        <w:keepNext w:val="0"/>
        <w:keepLines w:val="0"/>
        <w:widowControl w:val="0"/>
        <w:kinsoku/>
        <w:overflowPunct w:val="0"/>
        <w:autoSpaceDE/>
        <w:autoSpaceDN/>
        <w:adjustRightInd/>
        <w:snapToGrid/>
        <w:spacing w:before="0" w:after="0" w:line="590" w:lineRule="exact"/>
        <w:ind w:firstLine="640" w:firstLineChars="200"/>
        <w:jc w:val="both"/>
        <w:textAlignment w:val="auto"/>
        <w:rPr>
          <w:rFonts w:ascii="Times New Roman" w:hAnsi="Times New Roman" w:eastAsia="方正小标宋简体" w:cs="方正小标宋简体"/>
          <w:b w:val="0"/>
          <w:snapToGrid/>
          <w:color w:val="000000" w:themeColor="text1"/>
          <w:kern w:val="21"/>
          <w:sz w:val="32"/>
          <w:szCs w:val="32"/>
          <w:lang w:eastAsia="zh-Hans"/>
          <w14:textFill>
            <w14:solidFill>
              <w14:schemeClr w14:val="tx1"/>
            </w14:solidFill>
          </w14:textFill>
        </w:rPr>
      </w:pPr>
      <w:bookmarkStart w:id="1020" w:name="_Toc1132026338"/>
      <w:bookmarkStart w:id="1021" w:name="_Toc18043"/>
      <w:bookmarkStart w:id="1022" w:name="_Toc1574492828"/>
      <w:bookmarkStart w:id="1023" w:name="_Toc369540710"/>
      <w:bookmarkStart w:id="1024" w:name="_Toc16015"/>
      <w:bookmarkStart w:id="1025" w:name="_Toc2029677213"/>
      <w:bookmarkStart w:id="1026" w:name="_Toc23080"/>
      <w:bookmarkStart w:id="1027" w:name="_Toc7566"/>
    </w:p>
    <w:p w14:paraId="699710D7">
      <w:pPr>
        <w:widowControl w:val="0"/>
        <w:kinsoku/>
        <w:overflowPunct w:val="0"/>
        <w:autoSpaceDE/>
        <w:autoSpaceDN/>
        <w:adjustRightInd/>
        <w:snapToGrid/>
        <w:spacing w:line="590" w:lineRule="exact"/>
        <w:jc w:val="center"/>
        <w:textAlignment w:val="auto"/>
        <w:rPr>
          <w:rFonts w:ascii="Times New Roman" w:hAnsi="Times New Roman" w:eastAsia="方正小标宋简体" w:cs="方正小标宋简体"/>
          <w:snapToGrid/>
          <w:color w:val="000000" w:themeColor="text1"/>
          <w:kern w:val="21"/>
          <w:sz w:val="32"/>
          <w:szCs w:val="32"/>
          <w:lang w:eastAsia="zh-Hans"/>
          <w14:textFill>
            <w14:solidFill>
              <w14:schemeClr w14:val="tx1"/>
            </w14:solidFill>
          </w14:textFill>
        </w:rPr>
      </w:pPr>
      <w:r>
        <w:rPr>
          <w:rFonts w:hint="eastAsia" w:ascii="Times New Roman" w:hAnsi="Times New Roman" w:eastAsia="方正小标宋简体" w:cs="方正小标宋简体"/>
          <w:snapToGrid/>
          <w:color w:val="000000" w:themeColor="text1"/>
          <w:kern w:val="21"/>
          <w:sz w:val="32"/>
          <w:szCs w:val="32"/>
          <w:lang w:eastAsia="zh-Hans"/>
          <w14:textFill>
            <w14:solidFill>
              <w14:schemeClr w14:val="tx1"/>
            </w14:solidFill>
          </w14:textFill>
        </w:rPr>
        <w:br w:type="page"/>
      </w:r>
    </w:p>
    <w:p w14:paraId="09360CCC">
      <w:pPr>
        <w:pStyle w:val="3"/>
        <w:keepNext w:val="0"/>
        <w:keepLines w:val="0"/>
        <w:widowControl w:val="0"/>
        <w:kinsoku/>
        <w:overflowPunct w:val="0"/>
        <w:autoSpaceDE/>
        <w:autoSpaceDN/>
        <w:adjustRightInd/>
        <w:snapToGrid/>
        <w:spacing w:before="0" w:after="0" w:line="400" w:lineRule="exact"/>
        <w:ind w:firstLine="640" w:firstLineChars="200"/>
        <w:jc w:val="both"/>
        <w:textAlignment w:val="auto"/>
        <w:rPr>
          <w:rFonts w:ascii="Times New Roman" w:hAnsi="Times New Roman" w:eastAsia="方正小标宋简体" w:cs="方正小标宋简体"/>
          <w:b w:val="0"/>
          <w:snapToGrid/>
          <w:color w:val="000000" w:themeColor="text1"/>
          <w:kern w:val="21"/>
          <w:sz w:val="32"/>
          <w:szCs w:val="32"/>
          <w:lang w:eastAsia="zh-Hans"/>
          <w14:textFill>
            <w14:solidFill>
              <w14:schemeClr w14:val="tx1"/>
            </w14:solidFill>
          </w14:textFill>
        </w:rPr>
      </w:pPr>
    </w:p>
    <w:p w14:paraId="18151709">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pP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第十八章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 xml:space="preserve">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推进依法治市，建设</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法治肇庆</w:t>
      </w:r>
      <w:bookmarkEnd w:id="1020"/>
      <w:bookmarkEnd w:id="1021"/>
      <w:bookmarkEnd w:id="1022"/>
      <w:bookmarkEnd w:id="1023"/>
      <w:bookmarkEnd w:id="1024"/>
      <w:bookmarkEnd w:id="1025"/>
      <w:bookmarkEnd w:id="1026"/>
      <w:bookmarkEnd w:id="1027"/>
    </w:p>
    <w:p w14:paraId="563F8F2F">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p>
    <w:p w14:paraId="138F8729">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Hans"/>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以系统性思维推进法治</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肇庆</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建设，以精细化措施打磨法治保障关键环节，谱写新时代全面依法治市和良法善治新</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篇章</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22FE7705">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28" w:name="_Toc30232"/>
      <w:bookmarkStart w:id="1029" w:name="_Toc1528090942"/>
      <w:bookmarkStart w:id="1030" w:name="_Toc22297"/>
      <w:bookmarkStart w:id="1031" w:name="_Toc1452348694"/>
      <w:bookmarkStart w:id="1032" w:name="_Toc23601"/>
      <w:bookmarkStart w:id="1033" w:name="_Toc1979114959"/>
      <w:bookmarkStart w:id="1034" w:name="_Toc20185"/>
      <w:bookmarkStart w:id="1035" w:name="_Toc160453344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第一节  </w:t>
      </w:r>
      <w:bookmarkEnd w:id="102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高质量开展地方立法工作</w:t>
      </w:r>
      <w:bookmarkEnd w:id="1029"/>
      <w:bookmarkEnd w:id="1030"/>
      <w:bookmarkEnd w:id="1031"/>
      <w:bookmarkEnd w:id="1032"/>
      <w:bookmarkEnd w:id="1033"/>
      <w:bookmarkEnd w:id="1034"/>
      <w:bookmarkEnd w:id="1035"/>
    </w:p>
    <w:p w14:paraId="04AA4284">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bidi="ar"/>
          <w14:textFill>
            <w14:solidFill>
              <w14:schemeClr w14:val="tx1"/>
            </w14:solidFill>
          </w14:textFill>
        </w:rPr>
        <w:t>以</w:t>
      </w:r>
      <w:r>
        <w:rPr>
          <w:rFonts w:hint="eastAsia" w:ascii="Times New Roman" w:hAnsi="Times New Roman" w:eastAsia="方正仿宋_GBK" w:cs="Times New Roman"/>
          <w:snapToGrid/>
          <w:color w:val="000000" w:themeColor="text1"/>
          <w:spacing w:val="6"/>
          <w:kern w:val="21"/>
          <w:sz w:val="32"/>
          <w:szCs w:val="32"/>
          <w:lang w:eastAsia="zh-CN" w:bidi="ar"/>
          <w14:textFill>
            <w14:solidFill>
              <w14:schemeClr w14:val="tx1"/>
            </w14:solidFill>
          </w14:textFill>
        </w:rPr>
        <w:t>科学立法、民主立法、依法立法为导向，完善立法工作机制。</w:t>
      </w:r>
    </w:p>
    <w:p w14:paraId="1C7A2F6E">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完善立法工作格局与工作机制。加强党对立法工作的领导，从法规规章制定上保证党的路线、方针、政策得到全面贯彻和有效执行。进一步健全立法工作机制，规范地方性法规和政府规章立项、起草、审查、审议、公布、备案等工作程序和要求。加强</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政府规章制定</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协调，协同</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市人大常委会相关工委，</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提前介入、组织开展对制定政府规章的必要性、可行性、合法性、适当性、操作性的论证评估，及时协调解决立法重大问题，确保地方立法有效管用。</w:t>
      </w:r>
    </w:p>
    <w:p w14:paraId="205532B6">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加强重点领域地方性法规和政府规章制定工作。</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重点领域立法，围绕城乡建设与管理、生态文明建设、历史文化保护、基层治理等领域，突出新能源、产业绿色发展等新兴领域的立法和政策供给，以良法促发展，保善治。持续深化区域协同立法实践，积极开展跨省协同立法。及时推动地方性法规和政府规章的立改废释工作。</w:t>
      </w:r>
    </w:p>
    <w:p w14:paraId="775EB0FE">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36" w:name="_Toc964576568"/>
      <w:bookmarkStart w:id="1037" w:name="_Toc16220"/>
      <w:bookmarkStart w:id="1038" w:name="_Toc183450288"/>
      <w:bookmarkStart w:id="1039" w:name="_Toc10034"/>
      <w:bookmarkStart w:id="1040" w:name="_Toc4395"/>
      <w:bookmarkStart w:id="1041" w:name="_Toc5960"/>
      <w:bookmarkStart w:id="1042" w:name="_Toc638169380"/>
      <w:bookmarkStart w:id="1043" w:name="_Toc1802070810"/>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推进依法行政和司法公正</w:t>
      </w:r>
      <w:bookmarkEnd w:id="1036"/>
      <w:bookmarkEnd w:id="1037"/>
      <w:bookmarkEnd w:id="1038"/>
      <w:bookmarkEnd w:id="1039"/>
      <w:bookmarkEnd w:id="1040"/>
      <w:bookmarkEnd w:id="1041"/>
      <w:bookmarkEnd w:id="1042"/>
      <w:bookmarkEnd w:id="1043"/>
    </w:p>
    <w:p w14:paraId="2D0B62D4">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坚持依法行政与司法公正协同共进导向，以规范行政行为、强化法律监督为核心，保障社会公平正义。</w:t>
      </w:r>
    </w:p>
    <w:p w14:paraId="0F67B9CD">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依法规范行政决策。严格落实重大行政决策程序规定，健全公众参与、专家论证、风险评估、合法性审查、集体讨论决定机制，重点围绕重大产业布局、西江生态保护、城市更新、民生工程等领域，强化决策前合法性审查与合规性论证，落实政府法律顾问制度，推动法律顾问、公职律师参与决策过程。建立重大行政决策后评估与纠错机制，对决策实施效果定期研判，及时调整优化不符合发展实际或群众需求的决策事项，保障行政决策科学性与合法性。全面落实行政规范性文件备案审查，加强规章规范性文件及政策文件评估清理，坚决维护国家法治统一。</w:t>
      </w:r>
    </w:p>
    <w:p w14:paraId="3779E9C4">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推进</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严格执法</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与公正司法</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。深化综合行政执法体制改革，整合市场监管、生态环境、交通运输、农业农村等领域执法资源，推动执法力量向基层下沉，提升乡镇（街道）综合行政执法能力。推行</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精准执法+柔性监管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模式，对新技术、新产业、新业态实行包容审慎监管，对违法行为依法依规严肃查处。坚持司法为民、公正为民，扎实推进司法体制改革</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，强化检察监督，加强公益诉讼，</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守护社会公平正义</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682617D8">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健全行政争议多元化解体系。深入推进“府院联动”，健全完善府院常态化联动机制与“1+1+7”行政争议诉前调解机制，针对行政争议、执法衔接等问题联动处置，提升行政机关依法行政水平。联动开展“行政案件大讲堂”，提升行政机关依法行政水平。优化行政诉讼配套处置，推行肇庆行政案件“繁简分流+速裁快审”机制，建立行政案件速裁团队</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Hans"/>
          <w14:textFill>
            <w14:solidFill>
              <w14:schemeClr w14:val="tx1"/>
            </w14:solidFill>
          </w14:textFill>
        </w:rPr>
        <w:t>设置</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专业合议庭，强化行政机关应诉能力。进一步夯实行政复议基础，拓宽行政复议申请渠道，健全行政复议工作机制，全面提升行政复议化解行政争议能力。</w:t>
      </w:r>
    </w:p>
    <w:p w14:paraId="7B899BE5">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政务公开透明。衔接数字政府建设要求，推进政法工作数字化平台建设，强化跨部门执法司法协同和监督。持续推进政务公开标准化规范化，围绕行政权力运行、公共服务供给、重大项目进展等群众关切事项，通过政府门户网站、政务新媒体等平台及时主动公开。健全政务公开申请办理机制，规范答复流程，保障群众依法获取政府信息的权利。​</w:t>
      </w:r>
    </w:p>
    <w:p w14:paraId="58977B98">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44" w:name="_Toc23387912"/>
      <w:bookmarkStart w:id="1045" w:name="_Toc538"/>
      <w:bookmarkStart w:id="1046" w:name="_Toc856587204"/>
      <w:bookmarkStart w:id="1047" w:name="_Toc12624"/>
      <w:bookmarkStart w:id="1048" w:name="_Toc282536242"/>
      <w:bookmarkStart w:id="1049" w:name="_Toc28257"/>
      <w:bookmarkStart w:id="1050" w:name="_Toc1361341020"/>
      <w:bookmarkStart w:id="1051" w:name="_Toc664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加强法治社会建设</w:t>
      </w:r>
      <w:bookmarkEnd w:id="1044"/>
      <w:bookmarkEnd w:id="1045"/>
      <w:bookmarkEnd w:id="1046"/>
      <w:bookmarkEnd w:id="1047"/>
      <w:bookmarkEnd w:id="1048"/>
      <w:bookmarkEnd w:id="1049"/>
      <w:bookmarkEnd w:id="1050"/>
      <w:bookmarkEnd w:id="1051"/>
    </w:p>
    <w:p w14:paraId="593660C2">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坚持法治为民，提升全民法治素养，健全基层治理体系，推动普法宣传走深走实，营造尊法学法守法用法浓厚氛围。</w:t>
      </w:r>
    </w:p>
    <w:p w14:paraId="5056789E">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完善公共法律服务体系。推进公共法律服务均等化，深化公共法律服务资源协同融合。扩大法律援助覆盖面，重点保障农民工、残疾人、老年人、未成年人等弱势群体合法权益，简化法律援助申请流程，提升服务便捷性。整合律师、公证、仲裁、司法鉴定等法律服务资源，为企业提供合规审查、风险防范、纠纷解决等“一站式”法律服务。</w:t>
      </w:r>
    </w:p>
    <w:p w14:paraId="73ACFAD6">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培育全民法治素养。全面推进实施“</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九五</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”普法规划</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分层分类开展法治宣传教育，将习近平法治思想纳入各级党委（党组）理论学习中心组学习内容，提升领导干部运用法治思维和法治方式解决问题的能力。加强青少年法治教育，推动法治课程进校园、进课堂，依托中小学法治副校长、法治实践基地，开展情景式、体验式法治教学。针对企业经营者、农民工、老年人等群体，重点普及知识产权、劳动合同、消费者权益保护等法律法规。鼓励村（居）干部参与法治宣传，推动法治理念融入村规民约、居民公约，实现基层群众法治素养稳步提升。深化“小肇说法”、“肇小援”等法治品牌建设，推动普法宣传与法律援助、文化传承、基层治理有机融合。</w:t>
      </w:r>
    </w:p>
    <w:p w14:paraId="15DF8AF1">
      <w:pPr>
        <w:widowControl w:val="0"/>
        <w:numPr>
          <w:ilvl w:val="255"/>
          <w:numId w:val="0"/>
        </w:numPr>
        <w:kinsoku/>
        <w:overflowPunct w:val="0"/>
        <w:autoSpaceDE/>
        <w:autoSpaceDN/>
        <w:adjustRightInd/>
        <w:snapToGrid/>
        <w:spacing w:before="156" w:beforeLines="50" w:after="156" w:afterLines="50" w:line="58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52" w:name="_Toc1166212394"/>
      <w:bookmarkStart w:id="1053" w:name="_Toc21438"/>
      <w:bookmarkStart w:id="1054" w:name="_Toc813113456"/>
      <w:bookmarkStart w:id="1055" w:name="_Toc10609"/>
      <w:bookmarkStart w:id="1056" w:name="_Toc349"/>
      <w:bookmarkStart w:id="1057" w:name="_Toc15766"/>
      <w:bookmarkStart w:id="1058" w:name="_Toc226168867"/>
      <w:bookmarkStart w:id="1059" w:name="_Toc52746558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深化发展全过程人民民主</w:t>
      </w:r>
      <w:bookmarkEnd w:id="1052"/>
      <w:bookmarkEnd w:id="1053"/>
      <w:bookmarkEnd w:id="1054"/>
      <w:bookmarkEnd w:id="1055"/>
      <w:bookmarkEnd w:id="1056"/>
      <w:bookmarkEnd w:id="1057"/>
      <w:bookmarkEnd w:id="1058"/>
      <w:bookmarkEnd w:id="1059"/>
    </w:p>
    <w:p w14:paraId="082606A6">
      <w:pPr>
        <w:pStyle w:val="6"/>
        <w:widowControl w:val="0"/>
        <w:kinsoku/>
        <w:overflowPunct w:val="0"/>
        <w:autoSpaceDE/>
        <w:autoSpaceDN/>
        <w:adjustRightInd/>
        <w:snapToGrid/>
        <w:spacing w:line="58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践行全过程人民民主，健全立法机关、司法机关与社会公众的沟通机制，</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拓宽群众有序参与法治建设渠道</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发挥人大立法主导、监督刚性、代表履职作用，依托基层人大代表联络站等平台，畅通民意表达渠道，将人民意志贯穿决策、执行、监督全过程。发挥政协专门协商机构效能，聚焦肇庆产业升级、民生保障等关键领域深化专题协商。拓宽群众监督渠道，完善城乡基层政务、村务公开制度，畅通网络监督、信访举报等反馈路径，保障群众知情权、参与权、监督权。巩固和发展爱国统一战线，团结凝聚肇庆民营经济、党外人士、民族宗教等各界力量，为全过程人民民主注入多元动能。</w:t>
      </w:r>
    </w:p>
    <w:p w14:paraId="34FB5619">
      <w:pPr>
        <w:widowControl w:val="0"/>
        <w:kinsoku/>
        <w:overflowPunct w:val="0"/>
        <w:autoSpaceDE/>
        <w:autoSpaceDN/>
        <w:adjustRightInd/>
        <w:snapToGrid/>
        <w:spacing w:line="590" w:lineRule="exact"/>
        <w:ind w:firstLine="72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br w:type="page"/>
      </w:r>
    </w:p>
    <w:p w14:paraId="5AC40206">
      <w:pPr>
        <w:pStyle w:val="6"/>
        <w:widowControl w:val="0"/>
        <w:kinsoku/>
        <w:overflowPunct w:val="0"/>
        <w:autoSpaceDE/>
        <w:autoSpaceDN/>
        <w:adjustRightInd/>
        <w:snapToGrid/>
        <w:spacing w:line="400" w:lineRule="exact"/>
        <w:ind w:firstLine="64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p>
    <w:p w14:paraId="621069F6">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bookmarkStart w:id="1060" w:name="_Toc12265"/>
      <w:bookmarkStart w:id="1061" w:name="_Toc886622342"/>
      <w:bookmarkStart w:id="1062" w:name="_Toc590101802"/>
      <w:bookmarkStart w:id="1063" w:name="_Toc19751"/>
      <w:bookmarkStart w:id="1064" w:name="_Toc1532278090"/>
      <w:bookmarkStart w:id="1065" w:name="_Toc1513900502"/>
      <w:bookmarkStart w:id="1066" w:name="_Toc12793"/>
      <w:bookmarkStart w:id="1067" w:name="_Toc27350"/>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十九</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统筹发展和安全</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建设</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平安肇庆</w:t>
      </w:r>
      <w:bookmarkEnd w:id="1060"/>
      <w:bookmarkEnd w:id="1061"/>
      <w:bookmarkEnd w:id="1062"/>
      <w:bookmarkEnd w:id="1063"/>
      <w:bookmarkEnd w:id="1064"/>
      <w:bookmarkEnd w:id="1065"/>
      <w:bookmarkEnd w:id="1066"/>
      <w:bookmarkEnd w:id="1067"/>
    </w:p>
    <w:p w14:paraId="41D11F0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p>
    <w:p w14:paraId="599638B0">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坚持以人民安全为宗旨，深入贯彻总体国家安全观，始终保持统筹高质量发展和高水平安全的战略定力，为高质量发展筑牢坚实安全基石。</w:t>
      </w:r>
    </w:p>
    <w:p w14:paraId="13199E46">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68" w:name="_Toc8600"/>
      <w:bookmarkStart w:id="1069" w:name="_Toc15277"/>
      <w:bookmarkStart w:id="1070" w:name="_Toc1213789574"/>
      <w:bookmarkStart w:id="1071" w:name="_Toc41444658"/>
      <w:bookmarkStart w:id="1072" w:name="_Toc566624027"/>
      <w:bookmarkStart w:id="1073" w:name="_Toc31516"/>
      <w:bookmarkStart w:id="1074" w:name="_Toc3153"/>
      <w:bookmarkStart w:id="1075" w:name="_Toc984182923"/>
      <w:bookmarkStart w:id="1076" w:name="_Toc8163"/>
      <w:bookmarkStart w:id="1077" w:name="_Toc1943589844"/>
      <w:bookmarkStart w:id="1078" w:name="_Toc883507862"/>
      <w:bookmarkStart w:id="1079" w:name="_Toc903859961"/>
      <w:bookmarkStart w:id="1080" w:name="_Toc31277"/>
      <w:bookmarkStart w:id="1081" w:name="_Toc25126"/>
      <w:bookmarkStart w:id="1082" w:name="_Toc677776604"/>
      <w:bookmarkStart w:id="1083" w:name="_Toc258229017"/>
      <w:bookmarkStart w:id="1084" w:name="_Toc14505"/>
      <w:bookmarkStart w:id="1085" w:name="_Toc1311019209"/>
      <w:bookmarkStart w:id="1086" w:name="_Toc28356"/>
      <w:bookmarkStart w:id="1087" w:name="_Toc80426567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深入推进国家安全体系和能力建设</w:t>
      </w:r>
      <w:bookmarkEnd w:id="1068"/>
      <w:bookmarkEnd w:id="1069"/>
      <w:bookmarkEnd w:id="1070"/>
    </w:p>
    <w:p w14:paraId="3D9F3F2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坚持党对国家安全工作的绝对领导，压紧压实各县（市、区）各部门维护国家安全责任。推动肇庆国家安全重点领域和重要专项协调机制高效运转，提高应急应变效能。建立健全国家安全风险研判、防控协同、防范化解工作机制，全面防范化解各领域重大风险。锻造实战实用的国家安全能力，把捍卫政治安全摆在首位，坚定维护政权安全、制度安全，严厉打击敌对势力渗透、破坏、颠覆、分裂活动。全面落实意识形态工作责任制，进一步巩固壮大主流意识形态，全力防范化解重点领域意识形态风险，牢牢守住意识形态工作</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主阵地</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完善肇庆市涉外国家安全相关机制，构建海外安全保障体系，维护肇庆居民、法人在海外合法权益。</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扛牢保密工作政治责任，健全人防、物防、技防相结合的综合防范体系，坚决防止各类失泄密事件发生。</w:t>
      </w:r>
    </w:p>
    <w:p w14:paraId="782F9AFA">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88" w:name="_Toc16603"/>
      <w:bookmarkStart w:id="1089" w:name="_Toc21615"/>
      <w:bookmarkStart w:id="1090" w:name="_Toc1699700425"/>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大力提升资源安全保障能力</w:t>
      </w:r>
      <w:bookmarkEnd w:id="1071"/>
      <w:bookmarkEnd w:id="1072"/>
      <w:bookmarkEnd w:id="1073"/>
      <w:bookmarkEnd w:id="1074"/>
      <w:bookmarkEnd w:id="1075"/>
      <w:bookmarkEnd w:id="1088"/>
      <w:bookmarkEnd w:id="1089"/>
      <w:bookmarkEnd w:id="1090"/>
    </w:p>
    <w:p w14:paraId="0E55943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筑牢粮食安全防线。</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严守耕地红线和永久基本农田控制线，遏制耕地</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非农化</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确保永久基本农田数量不减少、质量不下降。实施耕地质量保护与提升行动，通过改良培肥土壤、农田水利设施建设等措施，提高耕地质量。稳定粮食作物种植面积，优化粮食种植结构，因地制宜发展特色粮食作物。推进粮食生产全程机械化，推广先进适用的农业机械和技术，巩固提升综合生产能力。加强粮食储备流通体系建设，提升粮食储备能力，加强粮食仓储信息化应用，推动粮食储备管理数字化智能化升级。健全粮食应急供应网络，加强应急演练，提高应对突发事件的能力。</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积极</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应对气候变化，重点开展种植制度优化、灾害防控技术研发和适应性技术推广等工作。</w:t>
      </w:r>
    </w:p>
    <w:p w14:paraId="2A3A51BC">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保障能源安全供应。</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保障能源安全，加强能源供需</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形势</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监测</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分析</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预警，督促企业强化储气、储油等能源储备，提高能源应急保障能力。</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夯实能源安全保障基础，谋划推动支撑性骨干电源、特高压直流输电工程等项目建设。</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围绕构建城市天然气供应</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一张网</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，完善城市供气管网、天然气供应体系，提升天然气稳定供应能力。</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提升能源安全监管效能，</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强化能源安全风险管控，建立</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健全</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能源安全</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生产监管</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机制，对能源生产、输送、储存等环节进行风险评估和隐患排查治理。加强能源应急管理，完善能源应急预案。</w:t>
      </w:r>
    </w:p>
    <w:p w14:paraId="50BE8418">
      <w:pPr>
        <w:widowControl w:val="0"/>
        <w:kinsoku/>
        <w:overflowPunct w:val="0"/>
        <w:autoSpaceDE/>
        <w:autoSpaceDN/>
        <w:adjustRightInd/>
        <w:snapToGrid/>
        <w:spacing w:line="59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切实守牢生态环境安全底线。持续加强生态环境源头管控，强化生态环境分区管控成果在产业布局、园区规划、项目选址等方面的应用</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持续扎实推进生态环境保护督察整改，不断改善环境质量。优化提升执法效能，全面深化</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一河一策一图</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成果应用，加强突发环境事件复盘总结，强化环境应急体系能力建设，严格核与辐射安全监管。</w:t>
      </w:r>
    </w:p>
    <w:p w14:paraId="56D0AF56">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91" w:name="_Toc1958749897"/>
      <w:bookmarkStart w:id="1092" w:name="_Toc3441"/>
      <w:bookmarkStart w:id="1093" w:name="_Toc22061"/>
      <w:bookmarkStart w:id="1094" w:name="_Toc1667404430"/>
      <w:bookmarkStart w:id="1095" w:name="_Toc1487"/>
      <w:bookmarkStart w:id="1096" w:name="_Toc1684629762"/>
      <w:bookmarkStart w:id="1097" w:name="_Toc30930625"/>
      <w:bookmarkStart w:id="1098" w:name="_Toc7876"/>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稳妥化解重点领域突出风险</w:t>
      </w:r>
      <w:bookmarkEnd w:id="1076"/>
      <w:bookmarkEnd w:id="1077"/>
      <w:bookmarkEnd w:id="1078"/>
      <w:bookmarkEnd w:id="1079"/>
      <w:bookmarkEnd w:id="1080"/>
      <w:bookmarkEnd w:id="1081"/>
      <w:bookmarkEnd w:id="1082"/>
      <w:bookmarkEnd w:id="1083"/>
      <w:bookmarkEnd w:id="1084"/>
      <w:bookmarkEnd w:id="1085"/>
      <w:bookmarkEnd w:id="1086"/>
      <w:bookmarkEnd w:id="1087"/>
      <w:bookmarkEnd w:id="1091"/>
      <w:bookmarkEnd w:id="1092"/>
      <w:bookmarkEnd w:id="1093"/>
      <w:bookmarkEnd w:id="1094"/>
      <w:bookmarkEnd w:id="1095"/>
      <w:bookmarkEnd w:id="1096"/>
      <w:bookmarkEnd w:id="1097"/>
      <w:bookmarkEnd w:id="1098"/>
    </w:p>
    <w:p w14:paraId="3BDD0BA4">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聚焦金融、政府债务、房地产等重点领域，坚持系统施治、稳妥处置，有效防范化解突出风险，筑牢经济社会高质量发展安全屏障。</w:t>
      </w:r>
    </w:p>
    <w:p w14:paraId="36890B11">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防范化解金融风险。积极稳妥化解重点领域风险</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坚守不发生系统性区域性金融风险底线。构建以机构监管、行为监管、功能监管、穿透式监管以及持续监管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五位一体</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的现代金融监管体系，切实提高金融监管有效性。巩固农合机构风险化解成果，完善流动性风险监测和应急处置机制，严防</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爆雷</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事件。进一步强化外汇风险监测，深化跨部门监管合作，防范跨境资金异常流动风险，共同打击外汇违法行为</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700A49A6">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防范化解政府债务风险。</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深化财政</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止血、活血、造血</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措施，兜牢兜实基层</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三保</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底线。综合施策做好预期管理工作，加强宏观政策协调配合。强化源头管控，坚决遏制新增隐性债务。加强全市统筹，定期评估各地债务风险情况和财力数据变化，并通过督促相关地区狠抓收入、优化支出结构等方式，降低债务风险。优化债务结构与规模，合理安排债务期限结构，降低短期偿债压力。建立债务资金使用绩效评价机制，对债务资金投向的项目进行全过程跟踪和评估。加强项目建设管理，防止项目超预算、超工期。加大财政收入组织力度，通过优化产业结构、培育新的经济增长点，提高财政收入质量和规模。积极盘活政府闲置土地、国有股权等资产资源，拓宽偿债资金来源。</w:t>
      </w:r>
    </w:p>
    <w:p w14:paraId="76E9FB53">
      <w:pPr>
        <w:widowControl w:val="0"/>
        <w:kinsoku/>
        <w:overflowPunct w:val="0"/>
        <w:autoSpaceDE/>
        <w:autoSpaceDN/>
        <w:adjustRightInd/>
        <w:snapToGrid/>
        <w:spacing w:line="600" w:lineRule="exact"/>
        <w:ind w:firstLine="640" w:firstLineChars="200"/>
        <w:jc w:val="both"/>
        <w:textAlignment w:val="auto"/>
        <w:rPr>
          <w:rFonts w:ascii="Times New Roman" w:hAnsi="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稳妥处置房地产市场风险。</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坚持消化存量和优化增量相结合，建立</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政府引导+市场运作</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的存量房源盘活机制，通过收购转化、功能转型、梯度置换等多元路径，推动库存房源向有效供给转化。扩大城中村和危旧房改造规模，消除安全隐患。加强对房地产市场的宏观调控，做好房地产金融审慎管理，支持构建房地产发展新模式，促进房地产市场平稳健康发展</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65027157">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099" w:name="_Toc7051"/>
      <w:bookmarkStart w:id="1100" w:name="_Toc855568313"/>
      <w:bookmarkStart w:id="1101" w:name="_Toc394422076"/>
      <w:bookmarkStart w:id="1102" w:name="_Toc1570333812"/>
      <w:bookmarkStart w:id="1103" w:name="_Toc826165427"/>
      <w:bookmarkStart w:id="1104" w:name="_Toc7844"/>
      <w:bookmarkStart w:id="1105" w:name="_Toc2487"/>
      <w:bookmarkStart w:id="1106" w:name="_Toc4004"/>
      <w:bookmarkStart w:id="1107" w:name="_Toc58685348"/>
      <w:bookmarkStart w:id="1108" w:name="_Toc961438136"/>
      <w:bookmarkStart w:id="1109" w:name="_Toc889068151"/>
      <w:bookmarkStart w:id="1110" w:name="_Toc158200319"/>
      <w:bookmarkStart w:id="1111" w:name="_Toc354194805"/>
      <w:bookmarkStart w:id="1112" w:name="_Toc8936"/>
      <w:bookmarkStart w:id="1113" w:name="_Toc5859"/>
      <w:bookmarkStart w:id="1114" w:name="_Toc16054"/>
      <w:bookmarkStart w:id="1115" w:name="_Toc1497794768"/>
      <w:bookmarkStart w:id="1116" w:name="_Toc1361843108"/>
      <w:bookmarkStart w:id="1117" w:name="_Toc9185"/>
      <w:bookmarkStart w:id="1118" w:name="_Toc18428"/>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 xml:space="preserve">第四节  </w:t>
      </w:r>
      <w:bookmarkEnd w:id="1099"/>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加强防灾减灾救灾体系建设</w:t>
      </w:r>
      <w:bookmarkEnd w:id="1100"/>
      <w:bookmarkEnd w:id="1101"/>
      <w:bookmarkEnd w:id="1102"/>
      <w:bookmarkEnd w:id="1103"/>
      <w:bookmarkEnd w:id="1104"/>
      <w:bookmarkEnd w:id="1105"/>
      <w:bookmarkEnd w:id="1106"/>
    </w:p>
    <w:p w14:paraId="7E60C70D">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以完善监测预报预警、强化应急指挥联动、提升应急救援能力和灾后恢复重建为抓手，进一步提升防灾减灾救灾能力，提升城市安全韧性。</w:t>
      </w:r>
    </w:p>
    <w:p w14:paraId="33A52B9D">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完善灾害监测预警体系。聚焦暴雨、洪水、台风、山洪、地质灾害、城乡渍涝、森林火灾等各类灾害防范需求，加密优化监测站点布局，</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在北江、西江流域上游及支流沿线加密建设水文监测站点，在山区地质灾害隐患点加密建设地质灾害监测站点，在城乡渍涝易发区加密建设积涝、雨情监测站点，在重要林区、旅游景区分别加密建设矿山安全、森林火情、气象灾害监测站点。优化升级西江流域灾害性天气协同监测预报预警系统，提升短时强降雨、强对流天气的精准预报能力</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。建立健全</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预警信息推送网络，重点覆盖农村、山区等信息薄弱区域。</w:t>
      </w:r>
    </w:p>
    <w:p w14:paraId="1AAA7C95">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强化应急指挥体系建设。完善大安全大应急框架下应急指挥机制，健全安全生产、自然灾害等专项指挥机制。厘清各级议事协调机构与专项工作机制功能定位，统一组织、指挥、协调突发事件应急处置工作。健全联合值守、会商研判、信息报送、资源共享、跨域救援等协同机制，构建市县间、部门间、区域间、军地间、条块间平时</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大安全</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防控和灾时</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大应急</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处置的联动格局。健全市、县应急指挥部体系建设，完善镇（街）应急指挥中心建设，完善应急指挥工作规则。深化应急指挥平台智能化建设，推动大数据、人工智能、数字孪生、云计算等技术与应急指挥业务深度融合。强化应急指挥通信信息保障，提高</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空、天、地</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通信保障能力，补充配备卫星电话、370MHz对讲机、无人机等应急通信保障载体，提升常态化指挥通信保障和</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三断</w:t>
      </w:r>
      <w:r>
        <w:rPr>
          <w:rFonts w:hint="eastAsia"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bidi="ar"/>
          <w14:textFill>
            <w14:solidFill>
              <w14:schemeClr w14:val="tx1"/>
            </w14:solidFill>
          </w14:textFill>
        </w:rPr>
        <w:t>应急通信保障水平。</w:t>
      </w:r>
    </w:p>
    <w:p w14:paraId="48F03AD1">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提升灾后恢复重建水平。</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立复盘成果转化机制，针对性完善应急预案、补齐设施短板</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科学规划灾后重建布局，避免在灾害隐患点新建</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居住区</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和重要设施。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结合</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灾后恢复重建，推进海绵城市建设、河道清淤疏浚、山体滑坡隐患点治理、森林生态修复等工程，提升区域灾害防御基础能力。加强对受灾群众的帮扶救助，建立灾后恢复重建资金保障长效机制，优先保障住房、饮水、电力、交通、教育、医疗等民生领域恢复。</w:t>
      </w:r>
    </w:p>
    <w:p w14:paraId="3762D82E">
      <w:pPr>
        <w:widowControl w:val="0"/>
        <w:numPr>
          <w:ilvl w:val="255"/>
          <w:numId w:val="0"/>
        </w:numPr>
        <w:kinsoku/>
        <w:overflowPunct w:val="0"/>
        <w:autoSpaceDE/>
        <w:autoSpaceDN/>
        <w:adjustRightInd/>
        <w:snapToGrid/>
        <w:spacing w:before="156" w:beforeLines="50" w:after="156" w:afterLines="50" w:line="59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19" w:name="_Toc1901649840"/>
      <w:bookmarkStart w:id="1120" w:name="_Toc1112466445"/>
      <w:bookmarkStart w:id="1121" w:name="_Toc31763"/>
      <w:bookmarkStart w:id="1122" w:name="_Toc9603"/>
      <w:bookmarkStart w:id="1123" w:name="_Toc11288"/>
      <w:bookmarkStart w:id="1124" w:name="_Toc858342547"/>
      <w:bookmarkStart w:id="1125" w:name="_Toc14082"/>
      <w:bookmarkStart w:id="1126" w:name="_Toc52548886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第五节  全力提高安全保障能力</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Start w:id="1127" w:name="_Toc6181"/>
      <w:bookmarkEnd w:id="1127"/>
    </w:p>
    <w:p w14:paraId="5A5698A7">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加强安全体系和能力建设，完善安全基础设施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建设</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，全面提升安全保障能力，护航高质量发展。</w:t>
      </w:r>
    </w:p>
    <w:p w14:paraId="54844AC4">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强化安全生产监管。</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深化安全生产</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5×10</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工作清单制度，严格落实</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党政同责、</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‘一岗双责’”</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和</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三管三必须</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要求，健全全链条责任体系。深化网格化精细化管理，优化</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镇（街）吹哨、部门报到</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机制，推动资源、力量、权限下沉基层，实现基层安全监管</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全覆盖、无死角</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聚焦交通运输、建筑施工、消防安全、城镇燃气、非煤矿山、危险化学品、工贸、文化旅游、水上交通、特种设备等重点行业领域，健全安全风险分级管控和隐患排查治理双重预防机制，常态化开展专项整治与专家帮扶指导，确保重大事故隐患动态清零。加快监管数字化转型，整合跨部门数据资源，实现安全生产全流程追溯、全要素管控的智慧化管理。健全跨部门、跨区域联合执法与协同监管机制，加强专业化执法队伍建设，规范执法程序与裁量标准，提升执法规范化、智能化水平。</w:t>
      </w:r>
    </w:p>
    <w:p w14:paraId="1E424600">
      <w:pPr>
        <w:widowControl w:val="0"/>
        <w:kinsoku/>
        <w:overflowPunct w:val="0"/>
        <w:autoSpaceDE/>
        <w:autoSpaceDN/>
        <w:adjustRightInd/>
        <w:snapToGrid/>
        <w:spacing w:line="58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加强消防安全体系建设。</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强化消防基础设施升级，在新区、工业园区、老旧城区等重点区域按需新建、改建、扩建消防站，推进消防供水、消防通信、消防通道等基础设施升级。加强各级森林消防队伍建设，全面提升森林火灾综合防控和应急处置能力。推进消防救援能力现代化建设，推进乡镇应急和消防一体化建设，培育专业化应急救援队伍，深化常态化、实战化培训演练机制，全面提升应急处置能力。深化消防安全宣传教育，提升公众应急逃生与自救互救能力，构建</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全民参与、共建共治</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的消防安全格局。</w:t>
      </w:r>
    </w:p>
    <w:p w14:paraId="7D5007B7">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提升社会治安防控效能。</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健全社会工作体制机制，纵深推进肇庆公安工作现代化、社会治安整体防控体系和能力现代化，健全维护安全稳定工作体系，完善</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专业+机制+大数据</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新型警务运行模式</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推动公共安全治理模式向事前预防转型。强化重点领域安全管控，健全</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1+6+N</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Style w:val="29"/>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footnoteReference w:id="5"/>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社会治安综合治理工作体系</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推进常态化扫黑除恶斗争，深化打击治理电信网络诈骗、毒品犯罪等突出违法犯罪，健全未成年人保护和预防犯罪工作机制，全面准确贯彻宽严相济刑事政策，提升刑罚执行质效。加强重点人群服务管理，严防个人极端暴力等案事件发生。健全完善环食药知打击治理体系，全力防范化解重大安全风险。坚持和发展新时代</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枫桥经验</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，健全矛盾化解与共治机制，多元化解社会矛盾纠纷。健全社会心理服务体系和危机干预机制。</w:t>
      </w:r>
    </w:p>
    <w:p w14:paraId="510D60EA">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强化</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国防</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动员与安全保障</w:t>
      </w:r>
      <w:r>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深化军民融合，促进军地资源共享、技术协同创新，提升经济与国防建设双向支撑力。全面提升国防动员能力，推动应急应战一体化融合发展和国防经济协调并进，高标准加紧做好国防动员各项准备。进一步完善拥军支前制度、机制和队伍建设。深化双拥共建，大力传承弘扬铁军光荣传统，深化全民国防教育</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p>
    <w:p w14:paraId="0195A8D3">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spacing w:val="6"/>
          <w:kern w:val="21"/>
          <w:sz w:val="32"/>
          <w:szCs w:val="32"/>
          <w:lang w:eastAsia="zh-CN"/>
          <w14:textFill>
            <w14:solidFill>
              <w14:schemeClr w14:val="tx1"/>
            </w14:solidFill>
          </w14:textFill>
        </w:rPr>
      </w:pP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夯实网络安全防线。落实党委（党组）网络安全工作责任制，发</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挥好网络安全协调工作机制作用，形成全市上下齐抓共管</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一盘棋</w:t>
      </w:r>
      <w:r>
        <w:rPr>
          <w:rFonts w:hint="eastAsia"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spacing w:val="6"/>
          <w:kern w:val="21"/>
          <w:sz w:val="32"/>
          <w:szCs w:val="32"/>
          <w:lang w:eastAsia="zh-CN"/>
          <w14:textFill>
            <w14:solidFill>
              <w14:schemeClr w14:val="tx1"/>
            </w14:solidFill>
          </w14:textFill>
        </w:rPr>
        <w:t>的网络安全工作格局。加快网络安全协调指挥平台建设，及时监测发现报告处置重大网络安全事件。完善分级分类的安全监管机制，强化数据安全和个人信息保护，健全生成式人工智能发展和管理机制，推动落实生成式人工智能服务备案和登记工作。</w:t>
      </w:r>
    </w:p>
    <w:p w14:paraId="61B2A066">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完善</w:t>
      </w:r>
      <w:r>
        <w:rPr>
          <w:rFonts w:hint="eastAsia" w:ascii="Times New Roman" w:hAnsi="Times New Roman" w:eastAsia="方正仿宋_GBK" w:cs="仿宋_GB2312"/>
          <w:snapToGrid/>
          <w:color w:val="000000" w:themeColor="text1"/>
          <w:kern w:val="21"/>
          <w:sz w:val="32"/>
          <w:szCs w:val="32"/>
          <w:lang w:eastAsia="zh-Hans"/>
          <w14:textFill>
            <w14:solidFill>
              <w14:schemeClr w14:val="tx1"/>
            </w14:solidFill>
          </w14:textFill>
        </w:rPr>
        <w:t>安全基础设施</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强化防洪排涝工程建设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补齐城镇防洪排涝设施短板，常态化开展病险水库、水闸除险加固</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完善供水保障基础设施</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优化农田灌溉设施布局，推进农村供水规模化改造</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升级市政基础设施，实施老旧燃气、供水、排水管网更新改造</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补齐防灾减灾设施短板</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加强防洪、消防、地质灾害防护、地震抗灾、人防工程等防灾设施建设</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强化灾害性天气观测，重点在暴雨灾害易发多发区</w:t>
      </w:r>
      <w:r>
        <w:rPr>
          <w:rFonts w:hint="eastAsia" w:ascii="Times New Roman" w:hAnsi="Times New Roman" w:eastAsia="方正仿宋_GBK" w:cs="Times New Roman"/>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w:snapToGrid/>
          <w:color w:val="000000" w:themeColor="text1"/>
          <w:kern w:val="21"/>
          <w:sz w:val="32"/>
          <w:szCs w:val="32"/>
          <w:lang w:eastAsia="zh-CN"/>
          <w14:textFill>
            <w14:solidFill>
              <w14:schemeClr w14:val="tx1"/>
            </w14:solidFill>
          </w14:textFill>
        </w:rPr>
        <w:t>地质灾害隐患点、城市内涝易发区、人员密集场所、重大工程施工区、重点防汛河段和重点湖泊汇水区域加密建设自动气象观测站，提升灾害性天气及其引发的次生灾害精准监测能力，同时完善面向服务的应用气象观测网，提升气象监测设施应用效益和服务水平。</w:t>
      </w:r>
    </w:p>
    <w:p w14:paraId="1BC5B339">
      <w:pPr>
        <w:widowControl w:val="0"/>
        <w:kinsoku/>
        <w:overflowPunct w:val="0"/>
        <w:autoSpaceDE/>
        <w:autoSpaceDN/>
        <w:adjustRightInd/>
        <w:snapToGrid/>
        <w:spacing w:line="590" w:lineRule="exact"/>
        <w:ind w:firstLine="640" w:firstLineChars="200"/>
        <w:jc w:val="both"/>
        <w:textAlignment w:val="auto"/>
        <w:rPr>
          <w:rFonts w:ascii="Times New Roman" w:hAnsi="Times New Roman" w:eastAsia="方正仿宋_GBK" w:cs="仿宋_GB2312"/>
          <w:snapToGrid/>
          <w:color w:val="000000" w:themeColor="text1"/>
          <w:kern w:val="21"/>
          <w:sz w:val="32"/>
          <w:szCs w:val="32"/>
          <w:lang w:eastAsia="zh-CN"/>
          <w14:textFill>
            <w14:solidFill>
              <w14:schemeClr w14:val="tx1"/>
            </w14:solidFill>
          </w14:textFill>
        </w:rPr>
      </w:pPr>
      <w:bookmarkStart w:id="1128" w:name="_Toc25787"/>
      <w:bookmarkStart w:id="1129" w:name="_Toc1228007724"/>
      <w:bookmarkStart w:id="1130" w:name="_Toc1955160147"/>
      <w:bookmarkStart w:id="1131" w:name="_Toc11398"/>
    </w:p>
    <w:p w14:paraId="0D005111">
      <w:pPr>
        <w:widowControl w:val="0"/>
        <w:kinsoku/>
        <w:overflowPunct w:val="0"/>
        <w:autoSpaceDE/>
        <w:autoSpaceDN/>
        <w:adjustRightInd/>
        <w:snapToGrid/>
        <w:spacing w:line="590" w:lineRule="exact"/>
        <w:jc w:val="center"/>
        <w:textAlignment w:val="auto"/>
        <w:rPr>
          <w:rFonts w:ascii="Times New Roman" w:hAnsi="Times New Roman" w:eastAsia="方正小标宋简体" w:cs="方正小标宋简体"/>
          <w:snapToGrid/>
          <w:color w:val="000000" w:themeColor="text1"/>
          <w:kern w:val="21"/>
          <w:sz w:val="32"/>
          <w:szCs w:val="32"/>
          <w:lang w:eastAsia="zh-CN"/>
          <w14:textFill>
            <w14:solidFill>
              <w14:schemeClr w14:val="tx1"/>
            </w14:solidFill>
          </w14:textFill>
        </w:rPr>
      </w:pPr>
      <w:bookmarkStart w:id="1132" w:name="_Toc8047"/>
      <w:bookmarkStart w:id="1133" w:name="_Toc1408194530"/>
      <w:bookmarkStart w:id="1134" w:name="_Toc2103078910"/>
      <w:bookmarkStart w:id="1135" w:name="_Toc20860"/>
      <w:r>
        <w:rPr>
          <w:rFonts w:ascii="Times New Roman" w:hAnsi="Times New Roman" w:eastAsia="方正小标宋简体" w:cs="方正小标宋简体"/>
          <w:snapToGrid/>
          <w:color w:val="000000" w:themeColor="text1"/>
          <w:kern w:val="21"/>
          <w:sz w:val="32"/>
          <w:szCs w:val="32"/>
          <w:lang w:eastAsia="zh-CN"/>
          <w14:textFill>
            <w14:solidFill>
              <w14:schemeClr w14:val="tx1"/>
            </w14:solidFill>
          </w14:textFill>
        </w:rPr>
        <w:br w:type="page"/>
      </w:r>
    </w:p>
    <w:p w14:paraId="0B3EE686">
      <w:pPr>
        <w:pStyle w:val="3"/>
        <w:keepNext w:val="0"/>
        <w:keepLines w:val="0"/>
        <w:widowControl w:val="0"/>
        <w:kinsoku/>
        <w:overflowPunct w:val="0"/>
        <w:autoSpaceDE/>
        <w:autoSpaceDN/>
        <w:adjustRightInd/>
        <w:snapToGrid/>
        <w:spacing w:before="0" w:after="0" w:line="400" w:lineRule="exact"/>
        <w:ind w:firstLine="640" w:firstLineChars="200"/>
        <w:jc w:val="both"/>
        <w:textAlignment w:val="auto"/>
        <w:rPr>
          <w:rFonts w:ascii="Times New Roman" w:hAnsi="Times New Roman" w:eastAsia="方正小标宋简体" w:cs="方正小标宋简体"/>
          <w:b w:val="0"/>
          <w:snapToGrid/>
          <w:color w:val="000000" w:themeColor="text1"/>
          <w:kern w:val="21"/>
          <w:sz w:val="32"/>
          <w:szCs w:val="32"/>
          <w:lang w:eastAsia="zh-CN"/>
          <w14:textFill>
            <w14:solidFill>
              <w14:schemeClr w14:val="tx1"/>
            </w14:solidFill>
          </w14:textFill>
        </w:rPr>
      </w:pPr>
    </w:p>
    <w:p w14:paraId="44AADCD2">
      <w:pPr>
        <w:pStyle w:val="3"/>
        <w:keepNext w:val="0"/>
        <w:keepLines w:val="0"/>
        <w:widowControl w:val="0"/>
        <w:kinsoku/>
        <w:overflowPunct w:val="0"/>
        <w:autoSpaceDE/>
        <w:autoSpaceDN/>
        <w:adjustRightInd/>
        <w:snapToGrid/>
        <w:spacing w:before="0" w:after="0" w:line="700" w:lineRule="exact"/>
        <w:jc w:val="center"/>
        <w:textAlignment w:val="auto"/>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pP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第</w:t>
      </w:r>
      <w:r>
        <w:rPr>
          <w:rFonts w:hint="eastAsia" w:ascii="Times New Roman" w:hAnsi="Times New Roman" w:eastAsia="方正小标宋简体" w:cs="方正小标宋简体"/>
          <w:b w:val="0"/>
          <w:snapToGrid/>
          <w:color w:val="000000" w:themeColor="text1"/>
          <w:kern w:val="21"/>
          <w:sz w:val="36"/>
          <w:szCs w:val="36"/>
          <w:lang w:eastAsia="zh-Hans"/>
          <w14:textFill>
            <w14:solidFill>
              <w14:schemeClr w14:val="tx1"/>
            </w14:solidFill>
          </w14:textFill>
        </w:rPr>
        <w:t>二十</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章</w:t>
      </w:r>
      <w:r>
        <w:rPr>
          <w:rFonts w:hint="eastAsia"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w:t>
      </w:r>
      <w:r>
        <w:rPr>
          <w:rFonts w:ascii="Times New Roman" w:hAnsi="Times New Roman" w:eastAsia="方正小标宋简体" w:cs="方正小标宋简体"/>
          <w:b w:val="0"/>
          <w:snapToGrid/>
          <w:color w:val="000000" w:themeColor="text1"/>
          <w:kern w:val="21"/>
          <w:sz w:val="36"/>
          <w:szCs w:val="36"/>
          <w:lang w:eastAsia="zh-CN"/>
          <w14:textFill>
            <w14:solidFill>
              <w14:schemeClr w14:val="tx1"/>
            </w14:solidFill>
          </w14:textFill>
        </w:rPr>
        <w:t xml:space="preserve"> 坚持党的全面领导，完善规划实施保障机制</w:t>
      </w:r>
      <w:bookmarkEnd w:id="1128"/>
      <w:bookmarkEnd w:id="1129"/>
      <w:bookmarkEnd w:id="1130"/>
      <w:bookmarkEnd w:id="1131"/>
      <w:bookmarkEnd w:id="1132"/>
      <w:bookmarkEnd w:id="1133"/>
      <w:bookmarkEnd w:id="1134"/>
      <w:bookmarkEnd w:id="1135"/>
    </w:p>
    <w:p w14:paraId="29AAA6F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bookmarkStart w:id="1136" w:name="_Toc25386"/>
      <w:bookmarkStart w:id="1137" w:name="_Toc6901"/>
      <w:bookmarkStart w:id="1138" w:name="_Toc242622591"/>
      <w:bookmarkStart w:id="1139" w:name="_Toc1922213613"/>
      <w:bookmarkStart w:id="1140" w:name="_Toc262022044"/>
      <w:bookmarkStart w:id="1141" w:name="_Toc107985015"/>
      <w:bookmarkStart w:id="1142" w:name="_Toc2304"/>
      <w:bookmarkStart w:id="1143" w:name="_Toc11495"/>
      <w:bookmarkStart w:id="1144" w:name="_Toc1674207145"/>
      <w:bookmarkStart w:id="1145" w:name="_Toc32694"/>
      <w:bookmarkStart w:id="1146" w:name="_Toc716701377"/>
      <w:bookmarkStart w:id="1147" w:name="_Toc392311091"/>
    </w:p>
    <w:p w14:paraId="4A6B5A47">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实现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规划目标，必须坚持</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和加强</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党的全面领导，深入贯彻落实新时代党的建设总要求，广泛凝聚政府、市场、社会各方合力，把现代化建设的伟大事业更加有力地推向前进。</w:t>
      </w:r>
    </w:p>
    <w:p w14:paraId="3B37ACF8">
      <w:pPr>
        <w:widowControl w:val="0"/>
        <w:numPr>
          <w:ilvl w:val="255"/>
          <w:numId w:val="0"/>
        </w:numPr>
        <w:kinsoku/>
        <w:overflowPunct w:val="0"/>
        <w:autoSpaceDE/>
        <w:autoSpaceDN/>
        <w:adjustRightInd/>
        <w:snapToGrid/>
        <w:spacing w:before="156" w:beforeLines="50" w:after="156" w:afterLines="5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48" w:name="_Toc1178518357"/>
      <w:bookmarkStart w:id="1149" w:name="_Toc11714"/>
      <w:bookmarkStart w:id="1150" w:name="_Toc14668"/>
      <w:bookmarkStart w:id="1151" w:name="_Toc27007"/>
      <w:bookmarkStart w:id="1152" w:name="_Toc9954"/>
      <w:bookmarkStart w:id="1153" w:name="_Toc616540531"/>
      <w:bookmarkStart w:id="1154" w:name="_Toc1899117557"/>
      <w:bookmarkStart w:id="1155" w:name="_Toc69106107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第一节  坚持和加强党的全面领导</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14:paraId="3F40C1C8">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坚持深入学习贯彻习近平新时代中国特色社会主义思想，坚持和加强党中央集中统一领导，深刻领悟</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两个确立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的决定性意义，不断增强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四个意识</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、坚定</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四个自信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、做到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两个维护</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充分发挥党总揽全局、协调各方的领导核心作用，把党的领导始终贯穿规划实施的全过程。坚持正确选人用人导向，把政治标准放在首位，树立和践行正确政绩观，选优配强各级领导班子，推进领导干部能上能下常态化，深入推进</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析事评人，以事择人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注重在重大一线考察识别干部，打造党性过硬、视野开阔、善于创新、真抓实干的干部队伍。强化教育培训和实践锻炼，聚焦新兴产业、未来产业发展所需，实施干部现代化建设能力提升计划，不断增强干部推动高质量发展本领、服务群众本领、防范化解风险本领。坚持严管厚爱、激励约束并重，完善综合考核指标体系和评分细则，制定实施改进优化公务员政绩考核的工作意见，充分发挥考核</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指挥棒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作用，引导各级干部树立和践行正确政绩观，激发干部队伍内生动力和整体活力。坚持大抓基层鲜明导向，落实基层党组织建设强基工程，加强各领域党建工作，深入开展</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党建引领、千村治理、万企服务</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行动，办好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党来肇福·微实事</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增强党组织政治功能和组织功能。坚持正风肃纪反腐相贯通，锲而不舍落实中央八项规定精神，推进作风建设常态化长效化。深入整治形式主义为基层减负。完善监督体系，加强对权力配置、运行的规范和监督。充分发挥党组织</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党员在推动规划落实过程中的先锋模范作用和战斗堡垒作用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凝聚工会、共青团、妇联等群团</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以及</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民主党派、工商联、无党派人士、新的社会阶层人士</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力量</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，共同推动全市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经济社会发展主要目标和工作任务顺利完成。</w:t>
      </w:r>
    </w:p>
    <w:p w14:paraId="64FC766D">
      <w:pPr>
        <w:widowControl w:val="0"/>
        <w:numPr>
          <w:ilvl w:val="255"/>
          <w:numId w:val="0"/>
        </w:numPr>
        <w:kinsoku/>
        <w:overflowPunct w:val="0"/>
        <w:autoSpaceDE/>
        <w:autoSpaceDN/>
        <w:adjustRightInd/>
        <w:snapToGrid/>
        <w:spacing w:before="187" w:beforeLines="60" w:after="187" w:afterLines="6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56" w:name="_Toc697849700"/>
      <w:bookmarkStart w:id="1157" w:name="_Toc324276929"/>
      <w:bookmarkStart w:id="1158" w:name="_Toc20617"/>
      <w:bookmarkStart w:id="1159" w:name="_Toc23178"/>
      <w:bookmarkStart w:id="1160" w:name="_Toc31109"/>
      <w:bookmarkStart w:id="1161" w:name="_Toc962504861"/>
      <w:bookmarkStart w:id="1162" w:name="_Toc1198597917"/>
      <w:bookmarkStart w:id="1163" w:name="_Toc309075702"/>
      <w:bookmarkStart w:id="1164" w:name="_Toc28182"/>
      <w:bookmarkStart w:id="1165" w:name="_Toc1362625296"/>
      <w:bookmarkStart w:id="1166" w:name="_Toc764925795"/>
      <w:bookmarkStart w:id="1167" w:name="_Toc1830709771"/>
      <w:bookmarkStart w:id="1168" w:name="_Toc4776"/>
      <w:bookmarkStart w:id="1169" w:name="_Toc23942431"/>
      <w:bookmarkStart w:id="1170" w:name="_Toc15760"/>
      <w:bookmarkStart w:id="1171" w:name="_Toc1570082062"/>
      <w:bookmarkStart w:id="1172" w:name="_Toc2919"/>
      <w:bookmarkStart w:id="1173" w:name="_Toc23399"/>
      <w:bookmarkStart w:id="1174" w:name="_Toc2102032603"/>
      <w:bookmarkStart w:id="1175" w:name="_Toc8233"/>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第二节  加强规划衔接协调</w:t>
      </w:r>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14:paraId="6D2EF299">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强化发展规划统领作用，</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立足全国全省发展大局，紧扣粤港澳大湾区建设等重大战略，健全以</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市级发展</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规划为统领、</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空间规划为基础</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重点专项规划、区域规划为支撑</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的规划体系</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。县（市、区）</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级</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规划</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要依据市级发展规划编制</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空间规划要根据市发展规划适时调整</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。统筹各级各类规划编制，精简数量、提高质量，根据实际建立完善市、县全口径规划编制目录清单，避免交叉重复、增加基层负担</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加强各级各类规划衔接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，加强与国家、省级发展规划、空间规划、区域规划、专项规划的有机衔接，在重大政策、重大改革、重大项目等方面争取国家、省更大支持。</w:t>
      </w:r>
      <w:bookmarkStart w:id="1176" w:name="_Toc1322654306"/>
      <w:bookmarkStart w:id="1177" w:name="_Toc603100412"/>
      <w:bookmarkStart w:id="1178" w:name="_Toc1638232038"/>
      <w:bookmarkStart w:id="1179" w:name="_Toc14828"/>
      <w:bookmarkStart w:id="1180" w:name="_Toc30897"/>
      <w:bookmarkStart w:id="1181" w:name="_Toc1601453146"/>
      <w:bookmarkStart w:id="1182" w:name="_Toc6736"/>
      <w:bookmarkStart w:id="1183" w:name="_Toc32099"/>
      <w:bookmarkStart w:id="1184" w:name="_Toc1784113845"/>
      <w:bookmarkStart w:id="1185" w:name="_Toc30238"/>
      <w:bookmarkStart w:id="1186" w:name="_Toc195141993"/>
      <w:bookmarkStart w:id="1187" w:name="_Toc424"/>
      <w:bookmarkStart w:id="1188" w:name="_Toc685880301"/>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报请市委、市政府批准的规划，报批前须与本规划进行衔接。加强对各县（市、区）规划的指导，确保县（市、区）规划与上位规划、上级规划协同一致，同时要结合实际、突出特色。</w:t>
      </w:r>
    </w:p>
    <w:p w14:paraId="79E9EC15">
      <w:pPr>
        <w:widowControl w:val="0"/>
        <w:numPr>
          <w:ilvl w:val="255"/>
          <w:numId w:val="0"/>
        </w:numPr>
        <w:kinsoku/>
        <w:overflowPunct w:val="0"/>
        <w:autoSpaceDE/>
        <w:autoSpaceDN/>
        <w:adjustRightInd/>
        <w:snapToGrid/>
        <w:spacing w:before="187" w:beforeLines="60" w:after="187" w:afterLines="6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89" w:name="_Toc31309"/>
      <w:bookmarkStart w:id="1190" w:name="_Toc1360982956"/>
      <w:bookmarkStart w:id="1191" w:name="_Toc1004984341"/>
      <w:bookmarkStart w:id="1192" w:name="_Toc12164"/>
      <w:bookmarkStart w:id="1193" w:name="_Toc4275"/>
      <w:bookmarkStart w:id="1194" w:name="_Toc1287485733"/>
      <w:bookmarkStart w:id="1195" w:name="_Toc902285452"/>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第三节  健全规划实施机制</w:t>
      </w:r>
      <w:bookmarkEnd w:id="1189"/>
      <w:bookmarkEnd w:id="1190"/>
      <w:bookmarkEnd w:id="1191"/>
      <w:bookmarkEnd w:id="1192"/>
      <w:bookmarkEnd w:id="1193"/>
      <w:bookmarkEnd w:id="1194"/>
      <w:bookmarkEnd w:id="1195"/>
    </w:p>
    <w:p w14:paraId="2D86AA5A">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落实规划实施责任</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各部门</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各县</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区</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要根据职能分工</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制定落实市发展规划涉及本地区</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本部门的主要任务实施方案</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。建立健全</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规划</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计划</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项目</w:t>
      </w:r>
      <w:r>
        <w:rPr>
          <w:rFonts w:hint="eastAsia" w:ascii="Times New Roman" w:hAnsi="Times New Roman" w:eastAsia="方正仿宋_GBK" w:cs="仿宋_GB2312"/>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落实</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闭环管理机制，强化规划对年度计划的指导约束作用，将规划主要目标任务分解纳入年度国民经济和社会发展计划，明确年度推进重点。</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健全规划实施动态调整机制，根据国家、</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省</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战略调整、宏观环境变化和发展实际需要，按程序对规划进行科学调整完善。加强规划实施监测评估</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开展规划实施动态监测、中期评估和总结评估，鼓励开展第三方评估，自觉接受人大监督。发挥</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市</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级纪检监察机关和审计机关对推进规划实施的监督作用。畅通社会监督渠道，凝聚全社会共同推进规划实施的强大合力。加强规划与宏观调控手段协调联动，促进财政、产业、价格、就业等政策协同发力，增强宏观政策取向一致性，确保全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十五五</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经济社会发展主要目标和战略任务顺利实现。</w:t>
      </w:r>
    </w:p>
    <w:p w14:paraId="5E23BFB4">
      <w:pPr>
        <w:widowControl w:val="0"/>
        <w:numPr>
          <w:ilvl w:val="255"/>
          <w:numId w:val="0"/>
        </w:numPr>
        <w:kinsoku/>
        <w:overflowPunct w:val="0"/>
        <w:autoSpaceDE/>
        <w:autoSpaceDN/>
        <w:adjustRightInd/>
        <w:snapToGrid/>
        <w:spacing w:before="187" w:beforeLines="60" w:after="187" w:afterLines="60" w:line="600" w:lineRule="exact"/>
        <w:jc w:val="center"/>
        <w:textAlignment w:val="auto"/>
        <w:outlineLvl w:val="1"/>
        <w:rPr>
          <w:rFonts w:ascii="Times New Roman" w:hAnsi="Times New Roman" w:eastAsia="黑体" w:cs="黑体"/>
          <w:snapToGrid/>
          <w:color w:val="000000" w:themeColor="text1"/>
          <w:kern w:val="21"/>
          <w:sz w:val="32"/>
          <w:szCs w:val="32"/>
          <w:lang w:eastAsia="zh-CN"/>
          <w14:textFill>
            <w14:solidFill>
              <w14:schemeClr w14:val="tx1"/>
            </w14:solidFill>
          </w14:textFill>
        </w:rPr>
      </w:pPr>
      <w:bookmarkStart w:id="1196" w:name="_Toc1238105268"/>
      <w:bookmarkStart w:id="1197" w:name="_Toc2008141756"/>
      <w:bookmarkStart w:id="1198" w:name="_Toc1063521343"/>
      <w:bookmarkStart w:id="1199" w:name="_Toc32341"/>
      <w:bookmarkStart w:id="1200" w:name="_Toc16891"/>
      <w:bookmarkStart w:id="1201" w:name="_Toc230772445"/>
      <w:bookmarkStart w:id="1202" w:name="_Toc2367"/>
      <w:r>
        <w:rPr>
          <w:rFonts w:hint="eastAsia" w:ascii="Times New Roman" w:hAnsi="Times New Roman" w:eastAsia="黑体" w:cs="黑体"/>
          <w:snapToGrid/>
          <w:color w:val="000000" w:themeColor="text1"/>
          <w:kern w:val="21"/>
          <w:sz w:val="32"/>
          <w:szCs w:val="32"/>
          <w:lang w:eastAsia="zh-CN"/>
          <w14:textFill>
            <w14:solidFill>
              <w14:schemeClr w14:val="tx1"/>
            </w14:solidFill>
          </w14:textFill>
        </w:rPr>
        <w:t>第四节  加强项目支撑和落实</w:t>
      </w:r>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96"/>
      <w:bookmarkEnd w:id="1197"/>
      <w:bookmarkEnd w:id="1198"/>
      <w:bookmarkEnd w:id="1199"/>
      <w:bookmarkEnd w:id="1200"/>
      <w:bookmarkEnd w:id="1201"/>
      <w:bookmarkEnd w:id="1202"/>
    </w:p>
    <w:p w14:paraId="4AC5C1BA">
      <w:pPr>
        <w:widowControl w:val="0"/>
        <w:kinsoku/>
        <w:overflowPunct w:val="0"/>
        <w:autoSpaceDE/>
        <w:autoSpaceDN/>
        <w:adjustRightInd/>
        <w:snapToGrid/>
        <w:spacing w:line="600" w:lineRule="exact"/>
        <w:ind w:firstLine="640" w:firstLineChars="200"/>
        <w:jc w:val="both"/>
        <w:textAlignment w:val="auto"/>
        <w:rPr>
          <w:rFonts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pP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以规划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引领</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重大项目建设，以重大项目实施</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推动</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规划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落地</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。围绕规划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确</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定的目标和主要任务，聚焦新质生产力发展、现代化基础设施体系、城乡融合发展、民生保障改善、绿色低碳转型、重点领域安全保障六大方面109项重大工程项目，精准谋划</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储备一批支撑肇庆长远发展的重大项目，构建</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建设一批、储备一批、谋划一批</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的动态项目库。坚持项目跟着规划走、资金要素跟着项目走、监管跟着项目资金走，科学编制市重点项目年度计划，合理安排建设进度，有序推进项目开工建设。统筹各类资源要素，</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加强对</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重大项目</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建设的政策支持，强化要素跟着项目走的保障机制，做好项目</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规划选址、用地用林、能耗</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和</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资金需求</w:t>
      </w:r>
      <w:r>
        <w:rPr>
          <w:rFonts w:hint="eastAsia" w:ascii="Times New Roman" w:hAnsi="Times New Roman" w:eastAsia="方正仿宋_GBK" w:cs="Times New Roman Regular"/>
          <w:snapToGrid/>
          <w:color w:val="000000" w:themeColor="text1"/>
          <w:kern w:val="21"/>
          <w:sz w:val="32"/>
          <w:szCs w:val="32"/>
          <w:lang w:eastAsia="zh-CN"/>
          <w14:textFill>
            <w14:solidFill>
              <w14:schemeClr w14:val="tx1"/>
            </w14:solidFill>
          </w14:textFill>
        </w:rPr>
        <w:t>等要素保障</w:t>
      </w:r>
      <w:r>
        <w:rPr>
          <w:rFonts w:hint="eastAsia" w:ascii="Times New Roman" w:hAnsi="Times New Roman" w:eastAsia="方正仿宋_GBK" w:cs="Times New Roman Regular"/>
          <w:snapToGrid/>
          <w:color w:val="000000" w:themeColor="text1"/>
          <w:kern w:val="21"/>
          <w:sz w:val="32"/>
          <w:szCs w:val="32"/>
          <w:lang w:eastAsia="zh-Hans"/>
          <w14:textFill>
            <w14:solidFill>
              <w14:schemeClr w14:val="tx1"/>
            </w14:solidFill>
          </w14:textFill>
        </w:rPr>
        <w:t>，以优质重大项目支撑全市高质量发展。</w:t>
      </w:r>
    </w:p>
    <w:p w14:paraId="29D0658E">
      <w:pPr>
        <w:widowControl w:val="0"/>
        <w:kinsoku/>
        <w:overflowPunct w:val="0"/>
        <w:autoSpaceDE/>
        <w:autoSpaceDN/>
        <w:adjustRightInd/>
        <w:snapToGrid/>
        <w:spacing w:line="600" w:lineRule="exact"/>
        <w:ind w:firstLine="640" w:firstLineChars="200"/>
        <w:jc w:val="both"/>
        <w:rPr>
          <w:rFonts w:ascii="Times New Roman" w:hAnsi="Times New Roman" w:eastAsia="方正仿宋_GBK"/>
          <w:color w:val="000000" w:themeColor="text1"/>
          <w:sz w:val="32"/>
          <w:szCs w:val="32"/>
          <w:lang w:eastAsia="zh-CN"/>
          <w14:textFill>
            <w14:solidFill>
              <w14:schemeClr w14:val="tx1"/>
            </w14:solidFill>
          </w14:textFill>
        </w:rPr>
      </w:pPr>
    </w:p>
    <w:p w14:paraId="13FC45E6">
      <w:pPr>
        <w:pStyle w:val="2"/>
        <w:widowControl w:val="0"/>
        <w:kinsoku/>
        <w:overflowPunct w:val="0"/>
        <w:autoSpaceDE/>
        <w:autoSpaceDN/>
        <w:adjustRightInd/>
        <w:snapToGrid/>
        <w:spacing w:beforeAutospacing="0" w:afterAutospacing="0" w:line="590" w:lineRule="exact"/>
        <w:ind w:firstLine="640" w:firstLineChars="200"/>
        <w:jc w:val="both"/>
        <w:rPr>
          <w:rFonts w:hint="default" w:ascii="Times New Roman" w:hAnsi="Times New Roman" w:eastAsia="方正仿宋_GBK"/>
          <w:b w:val="0"/>
          <w:color w:val="000000" w:themeColor="text1"/>
          <w:sz w:val="32"/>
          <w:szCs w:val="32"/>
          <w14:textFill>
            <w14:solidFill>
              <w14:schemeClr w14:val="tx1"/>
            </w14:solidFill>
          </w14:textFill>
        </w:rPr>
      </w:pPr>
    </w:p>
    <w:p w14:paraId="3851E310">
      <w:pPr>
        <w:widowControl w:val="0"/>
        <w:kinsoku/>
        <w:overflowPunct w:val="0"/>
        <w:autoSpaceDE/>
        <w:autoSpaceDN/>
        <w:rPr>
          <w:rFonts w:ascii="Times New Roman" w:hAnsi="Times New Roman"/>
          <w:lang w:eastAsia="zh-CN"/>
        </w:rPr>
        <w:sectPr>
          <w:pgSz w:w="11906" w:h="16838"/>
          <w:pgMar w:top="1871" w:right="1531" w:bottom="1871" w:left="1531" w:header="851" w:footer="1587" w:gutter="0"/>
          <w:cols w:space="0" w:num="1"/>
          <w:docGrid w:type="lines" w:linePitch="312" w:charSpace="0"/>
        </w:sectPr>
      </w:pPr>
    </w:p>
    <w:p w14:paraId="5EDF70D8">
      <w:pPr>
        <w:pStyle w:val="22"/>
        <w:widowControl w:val="0"/>
        <w:kinsoku/>
        <w:overflowPunct w:val="0"/>
        <w:autoSpaceDE/>
        <w:autoSpaceDN/>
        <w:spacing w:line="590" w:lineRule="exact"/>
        <w:ind w:firstLine="198" w:firstLineChars="71"/>
        <w:rPr>
          <w:rFonts w:hAnsi="Times New Roman"/>
        </w:rPr>
      </w:pPr>
    </w:p>
    <w:sectPr>
      <w:footerReference r:id="rId5" w:type="default"/>
      <w:pgSz w:w="11906" w:h="16838"/>
      <w:pgMar w:top="1871" w:right="1531" w:bottom="1871" w:left="1531" w:header="851" w:footer="1587"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824062-E6B7-4D0D-B600-14FB796B67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embedRegular r:id="rId2" w:fontKey="{00715DF9-96DB-4313-B3F4-8A8B84C738A2}"/>
  </w:font>
  <w:font w:name="Courier New">
    <w:panose1 w:val="02070309020205020404"/>
    <w:charset w:val="00"/>
    <w:family w:val="modern"/>
    <w:pitch w:val="default"/>
    <w:sig w:usb0="E0002EFF" w:usb1="C0007843" w:usb2="00000009" w:usb3="00000000" w:csb0="400001FF" w:csb1="FFFF0000"/>
  </w:font>
  <w:font w:name="方正仿宋简体">
    <w:altName w:val="微软雅黑"/>
    <w:panose1 w:val="00000000000000000000"/>
    <w:charset w:val="86"/>
    <w:family w:val="auto"/>
    <w:pitch w:val="default"/>
    <w:sig w:usb0="00000000" w:usb1="00000000" w:usb2="00000000" w:usb3="00000000" w:csb0="00040000" w:csb1="00000000"/>
    <w:embedRegular r:id="rId3" w:fontKey="{EF99D99E-FF86-417C-B58D-7B2EF0514FDA}"/>
  </w:font>
  <w:font w:name="方正小标宋简体">
    <w:panose1 w:val="02000000000000000000"/>
    <w:charset w:val="86"/>
    <w:family w:val="script"/>
    <w:pitch w:val="default"/>
    <w:sig w:usb0="00000001" w:usb1="08000000" w:usb2="00000000" w:usb3="00000000" w:csb0="00040000" w:csb1="00000000"/>
    <w:embedRegular r:id="rId4" w:fontKey="{9ED8A3C4-C48E-4CC3-9C24-92388D01FD3D}"/>
  </w:font>
  <w:font w:name="方正楷体简体">
    <w:altName w:val="等线"/>
    <w:panose1 w:val="00000000000000000000"/>
    <w:charset w:val="86"/>
    <w:family w:val="auto"/>
    <w:pitch w:val="default"/>
    <w:sig w:usb0="00000000" w:usb1="00000000" w:usb2="00000000" w:usb3="00000000" w:csb0="00040000" w:csb1="00000000"/>
    <w:embedRegular r:id="rId5" w:fontKey="{5EBB56B6-B6D3-4AA4-B99A-DFEBFC01B5B5}"/>
  </w:font>
  <w:font w:name="等线">
    <w:panose1 w:val="02010600030101010101"/>
    <w:charset w:val="86"/>
    <w:family w:val="auto"/>
    <w:pitch w:val="default"/>
    <w:sig w:usb0="A00002BF" w:usb1="38CF7CFA" w:usb2="00000016" w:usb3="00000000" w:csb0="0004000F" w:csb1="00000000"/>
  </w:font>
  <w:font w:name="方正楷体_GBK">
    <w:altName w:val="微软雅黑"/>
    <w:panose1 w:val="00000000000000000000"/>
    <w:charset w:val="86"/>
    <w:family w:val="auto"/>
    <w:pitch w:val="default"/>
    <w:sig w:usb0="00000000" w:usb1="00000000" w:usb2="00000000" w:usb3="00000000" w:csb0="00040000" w:csb1="00000000"/>
    <w:embedRegular r:id="rId6" w:fontKey="{2707AC34-1ED2-4E12-8D69-419EACC21671}"/>
  </w:font>
  <w:font w:name="方正小标宋_GBK">
    <w:panose1 w:val="02000000000000000000"/>
    <w:charset w:val="86"/>
    <w:family w:val="script"/>
    <w:pitch w:val="default"/>
    <w:sig w:usb0="A00002BF" w:usb1="38CF7CFA" w:usb2="00082016" w:usb3="00000000" w:csb0="00040001" w:csb1="00000000"/>
    <w:embedRegular r:id="rId7" w:fontKey="{3B770DAC-FD03-48F3-AD98-42CC11D008AB}"/>
  </w:font>
  <w:font w:name="方正仿宋_GBK">
    <w:altName w:val="微软雅黑"/>
    <w:panose1 w:val="00000000000000000000"/>
    <w:charset w:val="86"/>
    <w:family w:val="auto"/>
    <w:pitch w:val="default"/>
    <w:sig w:usb0="00000000" w:usb1="00000000" w:usb2="00000000" w:usb3="00000000" w:csb0="00040000" w:csb1="00000000"/>
    <w:embedRegular r:id="rId8" w:fontKey="{8C76F053-7F75-4C73-A362-E6FA98EA9F37}"/>
  </w:font>
  <w:font w:name="Times New Roman Regular">
    <w:altName w:val="Times New Roman"/>
    <w:panose1 w:val="00000000000000000000"/>
    <w:charset w:val="00"/>
    <w:family w:val="auto"/>
    <w:pitch w:val="default"/>
    <w:sig w:usb0="00000000" w:usb1="00000000" w:usb2="00000009" w:usb3="00000000" w:csb0="400001FF" w:csb1="FFFF0000"/>
    <w:embedRegular r:id="rId9" w:fontKey="{C3B2C3EE-C217-43E3-BB7B-1A3313110D26}"/>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3BDE3">
    <w:pPr>
      <w:pStyle w:val="16"/>
    </w:pPr>
    <w:r>
      <w:rPr>
        <w:lang w:eastAsia="zh-CN"/>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D0CAD1">
                          <w:pPr>
                            <w:pStyle w:val="16"/>
                            <w:widowControl w:val="0"/>
                            <w:kinsoku/>
                            <w:overflowPunct w:val="0"/>
                            <w:autoSpaceDE/>
                            <w:autoSpaceDN/>
                            <w:adjustRightInd/>
                            <w:snapToGrid/>
                            <w:ind w:left="105" w:leftChars="50" w:right="105" w:rightChars="50"/>
                            <w:jc w:val="both"/>
                            <w:rPr>
                              <w:rFonts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BD0CAD1">
                    <w:pPr>
                      <w:pStyle w:val="16"/>
                      <w:widowControl w:val="0"/>
                      <w:kinsoku/>
                      <w:overflowPunct w:val="0"/>
                      <w:autoSpaceDE/>
                      <w:autoSpaceDN/>
                      <w:adjustRightInd/>
                      <w:snapToGrid/>
                      <w:ind w:left="105" w:leftChars="50" w:right="105" w:rightChars="50"/>
                      <w:jc w:val="both"/>
                      <w:rPr>
                        <w:rFonts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AB813">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14:paraId="7BF20094">
      <w:pPr>
        <w:pStyle w:val="19"/>
        <w:snapToGrid/>
        <w:jc w:val="both"/>
        <w:rPr>
          <w:rFonts w:ascii="Times New Roman" w:hAnsi="Times New Roman" w:eastAsia="方正仿宋_GBK" w:cs="方正仿宋_GBK"/>
          <w:snapToGrid/>
          <w:kern w:val="21"/>
          <w:sz w:val="21"/>
        </w:rPr>
      </w:pPr>
      <w:r>
        <w:rPr>
          <w:rStyle w:val="29"/>
          <w:rFonts w:hint="eastAsia" w:ascii="Times New Roman" w:hAnsi="Times New Roman" w:eastAsia="方正仿宋_GBK" w:cs="方正仿宋_GBK"/>
          <w:snapToGrid/>
          <w:kern w:val="21"/>
          <w:sz w:val="21"/>
        </w:rPr>
        <w:footnoteRef/>
      </w:r>
      <w:r>
        <w:rPr>
          <w:rFonts w:hint="eastAsia" w:ascii="Times New Roman" w:hAnsi="Times New Roman" w:eastAsia="方正仿宋_GBK" w:cs="方正仿宋_GBK"/>
          <w:snapToGrid/>
          <w:kern w:val="21"/>
          <w:sz w:val="21"/>
        </w:rPr>
        <w:t xml:space="preserve"> 涵盖汽保、汽车金融、汽车IT、汽车养护、维修及配件、汽车文化及运动、二手车及租赁</w:t>
      </w:r>
      <w:r>
        <w:rPr>
          <w:rFonts w:hint="eastAsia" w:ascii="Times New Roman" w:hAnsi="Times New Roman" w:eastAsia="方正仿宋_GBK" w:cs="方正仿宋_GBK"/>
          <w:snapToGrid/>
          <w:kern w:val="21"/>
          <w:sz w:val="21"/>
          <w:lang w:eastAsia="zh-CN"/>
        </w:rPr>
        <w:t>等。</w:t>
      </w:r>
    </w:p>
  </w:footnote>
  <w:footnote w:id="1">
    <w:p w14:paraId="197B1A8C">
      <w:pPr>
        <w:pStyle w:val="19"/>
        <w:snapToGrid/>
        <w:jc w:val="both"/>
        <w:rPr>
          <w:rFonts w:ascii="Times New Roman" w:hAnsi="Times New Roman" w:eastAsia="方正仿宋_GBK" w:cs="方正仿宋_GBK"/>
          <w:snapToGrid/>
          <w:kern w:val="21"/>
          <w:sz w:val="21"/>
        </w:rPr>
      </w:pPr>
      <w:r>
        <w:rPr>
          <w:rStyle w:val="29"/>
          <w:rFonts w:hint="eastAsia" w:ascii="Times New Roman" w:hAnsi="Times New Roman" w:eastAsia="方正仿宋_GBK" w:cs="方正仿宋_GBK"/>
          <w:snapToGrid/>
          <w:kern w:val="21"/>
          <w:sz w:val="21"/>
        </w:rPr>
        <w:footnoteRef/>
      </w:r>
      <w:r>
        <w:rPr>
          <w:rFonts w:hint="eastAsia" w:ascii="Times New Roman" w:hAnsi="Times New Roman" w:eastAsia="方正仿宋_GBK" w:cs="方正仿宋_GBK"/>
          <w:snapToGrid/>
          <w:kern w:val="21"/>
          <w:sz w:val="21"/>
        </w:rPr>
        <w:t xml:space="preserve"> </w:t>
      </w:r>
      <w:r>
        <w:rPr>
          <w:rFonts w:hint="eastAsia" w:ascii="Times New Roman" w:hAnsi="Times New Roman" w:eastAsia="方正仿宋_GBK" w:cs="方正仿宋_GBK"/>
          <w:snapToGrid/>
          <w:kern w:val="21"/>
          <w:sz w:val="21"/>
          <w:lang w:eastAsia="zh-CN"/>
        </w:rPr>
        <w:t>1：以市招商委员会为“总指挥部”；11：11个县（市、区）及功能区党委政府“主战”当家；N：整合投资促进部门、行业主管部门、国企平台、驻外机构、中介组织等“N”方力量。</w:t>
      </w:r>
    </w:p>
  </w:footnote>
  <w:footnote w:id="2">
    <w:p w14:paraId="3F761A48">
      <w:pPr>
        <w:pStyle w:val="19"/>
        <w:jc w:val="both"/>
        <w:rPr>
          <w:rFonts w:eastAsia="方正仿宋_GBK"/>
          <w:sz w:val="21"/>
          <w:lang w:eastAsia="zh-CN"/>
        </w:rPr>
      </w:pPr>
      <w:r>
        <w:rPr>
          <w:rStyle w:val="29"/>
          <w:rFonts w:eastAsia="方正仿宋_GBK"/>
          <w:sz w:val="21"/>
        </w:rPr>
        <w:footnoteRef/>
      </w:r>
      <w:r>
        <w:rPr>
          <w:sz w:val="21"/>
        </w:rPr>
        <w:t xml:space="preserve"> </w:t>
      </w:r>
      <w:r>
        <w:rPr>
          <w:rFonts w:hint="eastAsia" w:eastAsia="方正仿宋_GBK"/>
          <w:sz w:val="21"/>
          <w:lang w:eastAsia="zh-CN"/>
        </w:rPr>
        <w:t>宠物周边、动漫游戏、潮服潮玩、沉浸式剧本游等。</w:t>
      </w:r>
    </w:p>
  </w:footnote>
  <w:footnote w:id="3">
    <w:p w14:paraId="391D7F2F">
      <w:pPr>
        <w:pStyle w:val="19"/>
        <w:snapToGrid/>
        <w:jc w:val="both"/>
        <w:rPr>
          <w:rFonts w:ascii="Times New Roman" w:hAnsi="Times New Roman" w:eastAsia="方正仿宋_GBK"/>
          <w:snapToGrid/>
          <w:kern w:val="21"/>
          <w:sz w:val="21"/>
        </w:rPr>
      </w:pPr>
      <w:r>
        <w:rPr>
          <w:rStyle w:val="29"/>
          <w:rFonts w:ascii="Times New Roman" w:hAnsi="Times New Roman" w:eastAsia="方正仿宋_GBK"/>
          <w:snapToGrid/>
          <w:kern w:val="21"/>
          <w:sz w:val="21"/>
        </w:rPr>
        <w:footnoteRef/>
      </w:r>
      <w:r>
        <w:rPr>
          <w:rFonts w:ascii="Times New Roman" w:hAnsi="Times New Roman" w:eastAsia="方正仿宋_GBK"/>
          <w:snapToGrid/>
          <w:kern w:val="21"/>
          <w:sz w:val="21"/>
        </w:rPr>
        <w:t xml:space="preserve"> </w:t>
      </w:r>
      <w:r>
        <w:rPr>
          <w:rFonts w:hint="eastAsia" w:ascii="Times New Roman" w:hAnsi="Times New Roman" w:eastAsia="方正仿宋_GBK"/>
          <w:snapToGrid/>
          <w:kern w:val="21"/>
          <w:sz w:val="21"/>
          <w:lang w:eastAsia="zh-CN"/>
        </w:rPr>
        <w:t>科技金融、绿色金融、普惠金融、养老金融、数字金融</w:t>
      </w:r>
    </w:p>
  </w:footnote>
  <w:footnote w:id="4">
    <w:p w14:paraId="3D322DBE">
      <w:pPr>
        <w:pStyle w:val="19"/>
        <w:jc w:val="both"/>
        <w:rPr>
          <w:rFonts w:ascii="Times New Roman" w:hAnsi="Times New Roman" w:eastAsia="方正仿宋_GBK"/>
          <w:snapToGrid/>
          <w:spacing w:val="-11"/>
          <w:kern w:val="21"/>
          <w:sz w:val="21"/>
          <w:lang w:eastAsia="zh-CN"/>
        </w:rPr>
      </w:pPr>
      <w:r>
        <w:rPr>
          <w:rStyle w:val="29"/>
          <w:rFonts w:ascii="Times New Roman" w:hAnsi="Times New Roman" w:eastAsia="方正仿宋_GBK"/>
          <w:snapToGrid/>
          <w:spacing w:val="-6"/>
          <w:kern w:val="21"/>
          <w:sz w:val="21"/>
        </w:rPr>
        <w:footnoteRef/>
      </w:r>
      <w:r>
        <w:rPr>
          <w:rFonts w:ascii="Times New Roman" w:hAnsi="Times New Roman" w:eastAsia="方正仿宋_GBK"/>
          <w:snapToGrid/>
          <w:spacing w:val="-6"/>
          <w:kern w:val="21"/>
          <w:sz w:val="21"/>
        </w:rPr>
        <w:t xml:space="preserve"> </w:t>
      </w:r>
      <w:r>
        <w:rPr>
          <w:rFonts w:hint="eastAsia" w:ascii="Times New Roman" w:hAnsi="Times New Roman" w:eastAsia="方正仿宋_GBK"/>
          <w:snapToGrid/>
          <w:spacing w:val="-11"/>
          <w:kern w:val="21"/>
          <w:sz w:val="21"/>
          <w:lang w:eastAsia="zh-CN"/>
        </w:rPr>
        <w:t>“</w:t>
      </w:r>
      <w:r>
        <w:rPr>
          <w:rFonts w:hint="eastAsia" w:ascii="Times New Roman" w:hAnsi="Times New Roman" w:eastAsia="方正仿宋_GBK"/>
          <w:snapToGrid/>
          <w:spacing w:val="-11"/>
          <w:kern w:val="21"/>
          <w:sz w:val="21"/>
        </w:rPr>
        <w:t>共建1个产业合作园区、结对发展2类示范镇、协同构建3个乡村体系、结对实施4项民生工程</w:t>
      </w:r>
      <w:r>
        <w:rPr>
          <w:rFonts w:hint="eastAsia" w:ascii="Times New Roman" w:hAnsi="Times New Roman" w:eastAsia="方正仿宋_GBK"/>
          <w:snapToGrid/>
          <w:spacing w:val="-11"/>
          <w:kern w:val="21"/>
          <w:sz w:val="21"/>
          <w:lang w:eastAsia="zh-CN"/>
        </w:rPr>
        <w:t>”</w:t>
      </w:r>
      <w:r>
        <w:rPr>
          <w:rFonts w:hint="eastAsia" w:ascii="Times New Roman" w:hAnsi="Times New Roman" w:eastAsia="方正仿宋_GBK"/>
          <w:snapToGrid/>
          <w:spacing w:val="-11"/>
          <w:kern w:val="21"/>
          <w:sz w:val="21"/>
        </w:rPr>
        <w:t>模式</w:t>
      </w:r>
      <w:r>
        <w:rPr>
          <w:rFonts w:hint="eastAsia" w:ascii="Times New Roman" w:hAnsi="Times New Roman" w:eastAsia="方正仿宋_GBK"/>
          <w:snapToGrid/>
          <w:spacing w:val="-11"/>
          <w:kern w:val="21"/>
          <w:sz w:val="21"/>
          <w:lang w:eastAsia="zh-CN"/>
        </w:rPr>
        <w:t>。</w:t>
      </w:r>
    </w:p>
  </w:footnote>
  <w:footnote w:id="5">
    <w:p w14:paraId="037E906F">
      <w:pPr>
        <w:pStyle w:val="19"/>
        <w:snapToGrid/>
        <w:jc w:val="both"/>
        <w:rPr>
          <w:rFonts w:ascii="Times New Roman" w:hAnsi="Times New Roman" w:eastAsia="方正仿宋_GBK"/>
          <w:snapToGrid/>
          <w:kern w:val="21"/>
          <w:sz w:val="21"/>
        </w:rPr>
      </w:pPr>
      <w:r>
        <w:rPr>
          <w:rStyle w:val="29"/>
          <w:rFonts w:ascii="Times New Roman" w:hAnsi="Times New Roman" w:eastAsia="方正仿宋_GBK"/>
          <w:snapToGrid/>
          <w:kern w:val="21"/>
          <w:sz w:val="21"/>
        </w:rPr>
        <w:footnoteRef/>
      </w:r>
      <w:r>
        <w:rPr>
          <w:rFonts w:ascii="Times New Roman" w:hAnsi="Times New Roman" w:eastAsia="方正仿宋_GBK"/>
          <w:snapToGrid/>
          <w:kern w:val="21"/>
          <w:sz w:val="21"/>
        </w:rPr>
        <w:t xml:space="preserve"> </w:t>
      </w:r>
      <w:r>
        <w:rPr>
          <w:rFonts w:ascii="Times New Roman" w:hAnsi="Times New Roman" w:eastAsia="方正仿宋_GBK"/>
          <w:snapToGrid/>
          <w:kern w:val="21"/>
          <w:sz w:val="21"/>
          <w:lang w:eastAsia="zh-CN"/>
        </w:rPr>
        <w:t>1指的是综治中心，6指的是综治网络及法院、检察院、公安、司法等基层政法力量和</w:t>
      </w:r>
      <w:r>
        <w:rPr>
          <w:rFonts w:hint="eastAsia" w:ascii="Times New Roman" w:hAnsi="Times New Roman" w:eastAsia="方正仿宋_GBK"/>
          <w:snapToGrid/>
          <w:kern w:val="21"/>
          <w:sz w:val="21"/>
          <w:lang w:eastAsia="zh-CN"/>
        </w:rPr>
        <w:t>“</w:t>
      </w:r>
      <w:r>
        <w:rPr>
          <w:rFonts w:ascii="Times New Roman" w:hAnsi="Times New Roman" w:eastAsia="方正仿宋_GBK"/>
          <w:snapToGrid/>
          <w:kern w:val="21"/>
          <w:sz w:val="21"/>
          <w:lang w:eastAsia="zh-CN"/>
        </w:rPr>
        <w:t>微网实格</w:t>
      </w:r>
      <w:r>
        <w:rPr>
          <w:rFonts w:hint="eastAsia" w:ascii="Times New Roman" w:hAnsi="Times New Roman" w:eastAsia="方正仿宋_GBK"/>
          <w:snapToGrid/>
          <w:kern w:val="21"/>
          <w:sz w:val="21"/>
          <w:lang w:eastAsia="zh-CN"/>
        </w:rPr>
        <w:t>”</w:t>
      </w:r>
      <w:r>
        <w:rPr>
          <w:rFonts w:ascii="Times New Roman" w:hAnsi="Times New Roman" w:eastAsia="方正仿宋_GBK"/>
          <w:snapToGrid/>
          <w:kern w:val="21"/>
          <w:sz w:val="21"/>
          <w:lang w:eastAsia="zh-CN"/>
        </w:rPr>
        <w:t>社会治理云平台等信息化支撑平台，N指的是其他综治力量，包括群团组织、法学会、律师协会等。</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doNotDisplayPageBoundaries w:val="1"/>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footnotePr>
    <w:footnote w:id="12"/>
    <w:footnote w:id="13"/>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Q2MWZmOTY2MzY4OGUxZjM1ZjgwM2UyNWM4NzU3ZTcifQ=="/>
  </w:docVars>
  <w:rsids>
    <w:rsidRoot w:val="6E865191"/>
    <w:rsid w:val="000A630A"/>
    <w:rsid w:val="000B2995"/>
    <w:rsid w:val="000C3DA7"/>
    <w:rsid w:val="001E2FFC"/>
    <w:rsid w:val="0026130D"/>
    <w:rsid w:val="002B06D1"/>
    <w:rsid w:val="006174B4"/>
    <w:rsid w:val="00627E6B"/>
    <w:rsid w:val="00674AA1"/>
    <w:rsid w:val="006B4F71"/>
    <w:rsid w:val="007A5E1D"/>
    <w:rsid w:val="008F6EB2"/>
    <w:rsid w:val="00A20EB3"/>
    <w:rsid w:val="00A8338B"/>
    <w:rsid w:val="00D64AE1"/>
    <w:rsid w:val="00EA3769"/>
    <w:rsid w:val="01172A03"/>
    <w:rsid w:val="01616FEF"/>
    <w:rsid w:val="01DB1C83"/>
    <w:rsid w:val="02151639"/>
    <w:rsid w:val="021653B1"/>
    <w:rsid w:val="0241242E"/>
    <w:rsid w:val="02467A44"/>
    <w:rsid w:val="024A65EE"/>
    <w:rsid w:val="0265135B"/>
    <w:rsid w:val="0270061D"/>
    <w:rsid w:val="02AE7397"/>
    <w:rsid w:val="02C32E43"/>
    <w:rsid w:val="02D52B76"/>
    <w:rsid w:val="03123DCA"/>
    <w:rsid w:val="03220D19"/>
    <w:rsid w:val="03506573"/>
    <w:rsid w:val="035E3AF6"/>
    <w:rsid w:val="0371289F"/>
    <w:rsid w:val="03A0770E"/>
    <w:rsid w:val="040E1E18"/>
    <w:rsid w:val="042052D0"/>
    <w:rsid w:val="042A6EF2"/>
    <w:rsid w:val="046B3792"/>
    <w:rsid w:val="04775D56"/>
    <w:rsid w:val="0486237A"/>
    <w:rsid w:val="04BA7570"/>
    <w:rsid w:val="04C11604"/>
    <w:rsid w:val="04C8079E"/>
    <w:rsid w:val="04D37589"/>
    <w:rsid w:val="04D74983"/>
    <w:rsid w:val="04E46879"/>
    <w:rsid w:val="05171231"/>
    <w:rsid w:val="056A591D"/>
    <w:rsid w:val="056F1060"/>
    <w:rsid w:val="058345AE"/>
    <w:rsid w:val="05860158"/>
    <w:rsid w:val="058F34B0"/>
    <w:rsid w:val="05B50897"/>
    <w:rsid w:val="05C075FF"/>
    <w:rsid w:val="05CD4DA5"/>
    <w:rsid w:val="05D30172"/>
    <w:rsid w:val="05E0552F"/>
    <w:rsid w:val="05E51322"/>
    <w:rsid w:val="06532730"/>
    <w:rsid w:val="067A5F0E"/>
    <w:rsid w:val="06897EFF"/>
    <w:rsid w:val="069D1BFD"/>
    <w:rsid w:val="06AA5246"/>
    <w:rsid w:val="06C54CB0"/>
    <w:rsid w:val="06E7104A"/>
    <w:rsid w:val="06F226F8"/>
    <w:rsid w:val="06F260AD"/>
    <w:rsid w:val="07222102"/>
    <w:rsid w:val="0738486E"/>
    <w:rsid w:val="073E6F3C"/>
    <w:rsid w:val="07533FC2"/>
    <w:rsid w:val="07546EE1"/>
    <w:rsid w:val="07752619"/>
    <w:rsid w:val="07F7358F"/>
    <w:rsid w:val="07FF6519"/>
    <w:rsid w:val="084F700A"/>
    <w:rsid w:val="08591B53"/>
    <w:rsid w:val="086C1887"/>
    <w:rsid w:val="086F1D2E"/>
    <w:rsid w:val="088F5575"/>
    <w:rsid w:val="089F067F"/>
    <w:rsid w:val="08BF14D6"/>
    <w:rsid w:val="08E624F0"/>
    <w:rsid w:val="08E73603"/>
    <w:rsid w:val="08FFB86D"/>
    <w:rsid w:val="09076C37"/>
    <w:rsid w:val="0958005D"/>
    <w:rsid w:val="09643022"/>
    <w:rsid w:val="096A4B81"/>
    <w:rsid w:val="098E3A7F"/>
    <w:rsid w:val="099D3CF5"/>
    <w:rsid w:val="09AB10E4"/>
    <w:rsid w:val="09AB63DF"/>
    <w:rsid w:val="09BD0803"/>
    <w:rsid w:val="09DFB754"/>
    <w:rsid w:val="09E31E89"/>
    <w:rsid w:val="09E43ECA"/>
    <w:rsid w:val="09EF276F"/>
    <w:rsid w:val="09FB19F5"/>
    <w:rsid w:val="0A086A0A"/>
    <w:rsid w:val="0A591776"/>
    <w:rsid w:val="0A6939AD"/>
    <w:rsid w:val="0A6A189F"/>
    <w:rsid w:val="0A867B25"/>
    <w:rsid w:val="0AA3355A"/>
    <w:rsid w:val="0AAB0D8C"/>
    <w:rsid w:val="0AD2156B"/>
    <w:rsid w:val="0AF02C43"/>
    <w:rsid w:val="0AFC10CB"/>
    <w:rsid w:val="0B297F03"/>
    <w:rsid w:val="0B4162A8"/>
    <w:rsid w:val="0B472869"/>
    <w:rsid w:val="0B5D1B3B"/>
    <w:rsid w:val="0B640F3B"/>
    <w:rsid w:val="0B8D2240"/>
    <w:rsid w:val="0BFFE7A0"/>
    <w:rsid w:val="0C177D5B"/>
    <w:rsid w:val="0C232BA4"/>
    <w:rsid w:val="0C2506CA"/>
    <w:rsid w:val="0C324B95"/>
    <w:rsid w:val="0C3841E3"/>
    <w:rsid w:val="0C3B6140"/>
    <w:rsid w:val="0C3E178C"/>
    <w:rsid w:val="0C6A2581"/>
    <w:rsid w:val="0C741652"/>
    <w:rsid w:val="0CA912FB"/>
    <w:rsid w:val="0CB87790"/>
    <w:rsid w:val="0CC71781"/>
    <w:rsid w:val="0D183D8B"/>
    <w:rsid w:val="0D224C0A"/>
    <w:rsid w:val="0D2546FA"/>
    <w:rsid w:val="0D297A37"/>
    <w:rsid w:val="0D442DD2"/>
    <w:rsid w:val="0D505C1B"/>
    <w:rsid w:val="0D6A169A"/>
    <w:rsid w:val="0D7C256C"/>
    <w:rsid w:val="0DA33F9D"/>
    <w:rsid w:val="0DA35667"/>
    <w:rsid w:val="0DB35C28"/>
    <w:rsid w:val="0DE75472"/>
    <w:rsid w:val="0DEB5F55"/>
    <w:rsid w:val="0DFB7ED2"/>
    <w:rsid w:val="0E012A71"/>
    <w:rsid w:val="0E082052"/>
    <w:rsid w:val="0E286250"/>
    <w:rsid w:val="0E3177FA"/>
    <w:rsid w:val="0E3C7F4D"/>
    <w:rsid w:val="0E415DA1"/>
    <w:rsid w:val="0E593254"/>
    <w:rsid w:val="0E5B3E59"/>
    <w:rsid w:val="0EA7186A"/>
    <w:rsid w:val="0EAA3109"/>
    <w:rsid w:val="0EAF24CD"/>
    <w:rsid w:val="0EC3241C"/>
    <w:rsid w:val="0EC71F0D"/>
    <w:rsid w:val="0ED85EC8"/>
    <w:rsid w:val="0F052A35"/>
    <w:rsid w:val="0F087E2F"/>
    <w:rsid w:val="0F1834BD"/>
    <w:rsid w:val="0F312C7C"/>
    <w:rsid w:val="0F4C41C0"/>
    <w:rsid w:val="0F5A4B2F"/>
    <w:rsid w:val="0F6FBE88"/>
    <w:rsid w:val="0F703E9F"/>
    <w:rsid w:val="0F7D566D"/>
    <w:rsid w:val="0F9D7352"/>
    <w:rsid w:val="0FB2507C"/>
    <w:rsid w:val="0FBE032D"/>
    <w:rsid w:val="0FE95EB3"/>
    <w:rsid w:val="100B3B6D"/>
    <w:rsid w:val="10156CA8"/>
    <w:rsid w:val="106D32AB"/>
    <w:rsid w:val="10834B22"/>
    <w:rsid w:val="108DFC8F"/>
    <w:rsid w:val="10A67900"/>
    <w:rsid w:val="10AB68D1"/>
    <w:rsid w:val="10CF49B7"/>
    <w:rsid w:val="1109169E"/>
    <w:rsid w:val="11230F50"/>
    <w:rsid w:val="112371A2"/>
    <w:rsid w:val="1158558D"/>
    <w:rsid w:val="11AA6DF2"/>
    <w:rsid w:val="11B83D8F"/>
    <w:rsid w:val="11BB562D"/>
    <w:rsid w:val="11D9D9E4"/>
    <w:rsid w:val="11EE155E"/>
    <w:rsid w:val="120174E4"/>
    <w:rsid w:val="12091944"/>
    <w:rsid w:val="12214FB7"/>
    <w:rsid w:val="124B69B1"/>
    <w:rsid w:val="124D097B"/>
    <w:rsid w:val="125C471A"/>
    <w:rsid w:val="127C30CD"/>
    <w:rsid w:val="129B7690"/>
    <w:rsid w:val="12B5207C"/>
    <w:rsid w:val="12BC340B"/>
    <w:rsid w:val="12C77C28"/>
    <w:rsid w:val="12E33714"/>
    <w:rsid w:val="12FD2134"/>
    <w:rsid w:val="134578A4"/>
    <w:rsid w:val="13541895"/>
    <w:rsid w:val="13846299"/>
    <w:rsid w:val="13B26B3B"/>
    <w:rsid w:val="13C03F34"/>
    <w:rsid w:val="13D20D89"/>
    <w:rsid w:val="13D475E8"/>
    <w:rsid w:val="13DC2D21"/>
    <w:rsid w:val="13E01A5C"/>
    <w:rsid w:val="13E42C19"/>
    <w:rsid w:val="13F64EBD"/>
    <w:rsid w:val="13F9014E"/>
    <w:rsid w:val="13F95C1F"/>
    <w:rsid w:val="13FF28E0"/>
    <w:rsid w:val="14074B59"/>
    <w:rsid w:val="14157276"/>
    <w:rsid w:val="143A0A8B"/>
    <w:rsid w:val="143C2014"/>
    <w:rsid w:val="145A112D"/>
    <w:rsid w:val="14700E57"/>
    <w:rsid w:val="14A879A3"/>
    <w:rsid w:val="14CB3DD9"/>
    <w:rsid w:val="15565F7F"/>
    <w:rsid w:val="155FBB56"/>
    <w:rsid w:val="157A2AC8"/>
    <w:rsid w:val="157C2CF6"/>
    <w:rsid w:val="157D3325"/>
    <w:rsid w:val="158E72E0"/>
    <w:rsid w:val="15977F8D"/>
    <w:rsid w:val="15D46CBD"/>
    <w:rsid w:val="15E743F7"/>
    <w:rsid w:val="15ED24C8"/>
    <w:rsid w:val="15ED6BB7"/>
    <w:rsid w:val="15F61910"/>
    <w:rsid w:val="15F64166"/>
    <w:rsid w:val="16007FF2"/>
    <w:rsid w:val="1601799F"/>
    <w:rsid w:val="164938E4"/>
    <w:rsid w:val="164A549E"/>
    <w:rsid w:val="1653052A"/>
    <w:rsid w:val="16AE4F75"/>
    <w:rsid w:val="16C60CFC"/>
    <w:rsid w:val="16DA4876"/>
    <w:rsid w:val="16E8ACED"/>
    <w:rsid w:val="16E9527F"/>
    <w:rsid w:val="16F77107"/>
    <w:rsid w:val="16FFB066"/>
    <w:rsid w:val="16FFB2AD"/>
    <w:rsid w:val="16FFF350"/>
    <w:rsid w:val="17075D31"/>
    <w:rsid w:val="171750B3"/>
    <w:rsid w:val="17210AD6"/>
    <w:rsid w:val="175B58E8"/>
    <w:rsid w:val="176F16F0"/>
    <w:rsid w:val="17984446"/>
    <w:rsid w:val="17A0779F"/>
    <w:rsid w:val="17C37466"/>
    <w:rsid w:val="17CF3BE0"/>
    <w:rsid w:val="17DD00AB"/>
    <w:rsid w:val="17DD25C9"/>
    <w:rsid w:val="17E673DB"/>
    <w:rsid w:val="17EA4D6C"/>
    <w:rsid w:val="17F3C95D"/>
    <w:rsid w:val="17FAE8E1"/>
    <w:rsid w:val="17FB6783"/>
    <w:rsid w:val="17FD24FB"/>
    <w:rsid w:val="17FF6E9D"/>
    <w:rsid w:val="182D144B"/>
    <w:rsid w:val="183B3024"/>
    <w:rsid w:val="1844637C"/>
    <w:rsid w:val="185F1F0C"/>
    <w:rsid w:val="187F1162"/>
    <w:rsid w:val="18A21C6D"/>
    <w:rsid w:val="18C40E0E"/>
    <w:rsid w:val="190C2820"/>
    <w:rsid w:val="190D4D06"/>
    <w:rsid w:val="191915B7"/>
    <w:rsid w:val="191E7324"/>
    <w:rsid w:val="192341E3"/>
    <w:rsid w:val="192570EF"/>
    <w:rsid w:val="19344ED1"/>
    <w:rsid w:val="194128BC"/>
    <w:rsid w:val="194B373A"/>
    <w:rsid w:val="195E673E"/>
    <w:rsid w:val="19831126"/>
    <w:rsid w:val="198D78AF"/>
    <w:rsid w:val="199926F8"/>
    <w:rsid w:val="19BD63E6"/>
    <w:rsid w:val="19E020D4"/>
    <w:rsid w:val="19E5593D"/>
    <w:rsid w:val="19FC4617"/>
    <w:rsid w:val="19FD4A34"/>
    <w:rsid w:val="19FE255B"/>
    <w:rsid w:val="19FF9750"/>
    <w:rsid w:val="1A0F1377"/>
    <w:rsid w:val="1A1F0E4F"/>
    <w:rsid w:val="1A442663"/>
    <w:rsid w:val="1A5959E3"/>
    <w:rsid w:val="1A622AE9"/>
    <w:rsid w:val="1A732F49"/>
    <w:rsid w:val="1A831D72"/>
    <w:rsid w:val="1A9D1D74"/>
    <w:rsid w:val="1AA255DC"/>
    <w:rsid w:val="1ADD0762"/>
    <w:rsid w:val="1AEE57EC"/>
    <w:rsid w:val="1AF06347"/>
    <w:rsid w:val="1AFEA756"/>
    <w:rsid w:val="1B132036"/>
    <w:rsid w:val="1B364CDB"/>
    <w:rsid w:val="1B4854D3"/>
    <w:rsid w:val="1B803B6F"/>
    <w:rsid w:val="1B854CE1"/>
    <w:rsid w:val="1BA809D0"/>
    <w:rsid w:val="1BBB6E01"/>
    <w:rsid w:val="1BD44862"/>
    <w:rsid w:val="1C2E21CD"/>
    <w:rsid w:val="1C580648"/>
    <w:rsid w:val="1C746B04"/>
    <w:rsid w:val="1CE819CC"/>
    <w:rsid w:val="1CEE0B2F"/>
    <w:rsid w:val="1CEE4B08"/>
    <w:rsid w:val="1D0B1216"/>
    <w:rsid w:val="1D5B6AAB"/>
    <w:rsid w:val="1D6D7C56"/>
    <w:rsid w:val="1D970CFC"/>
    <w:rsid w:val="1D9C3AA7"/>
    <w:rsid w:val="1DB55626"/>
    <w:rsid w:val="1DC87107"/>
    <w:rsid w:val="1DE65C92"/>
    <w:rsid w:val="1DE8677C"/>
    <w:rsid w:val="1DF2528F"/>
    <w:rsid w:val="1DFD1220"/>
    <w:rsid w:val="1DFE9865"/>
    <w:rsid w:val="1E0345E3"/>
    <w:rsid w:val="1E075CAD"/>
    <w:rsid w:val="1E14234D"/>
    <w:rsid w:val="1E222CBC"/>
    <w:rsid w:val="1E2E29E0"/>
    <w:rsid w:val="1E426EBA"/>
    <w:rsid w:val="1E4D2D4A"/>
    <w:rsid w:val="1E5170FD"/>
    <w:rsid w:val="1E5332EC"/>
    <w:rsid w:val="1E67F591"/>
    <w:rsid w:val="1E6C7F40"/>
    <w:rsid w:val="1E780B2E"/>
    <w:rsid w:val="1E7BB609"/>
    <w:rsid w:val="1E831280"/>
    <w:rsid w:val="1E935967"/>
    <w:rsid w:val="1E96830E"/>
    <w:rsid w:val="1EAC07D7"/>
    <w:rsid w:val="1EBE219E"/>
    <w:rsid w:val="1EC57AEB"/>
    <w:rsid w:val="1EC729A5"/>
    <w:rsid w:val="1ECE4BF1"/>
    <w:rsid w:val="1ECE9E9C"/>
    <w:rsid w:val="1EF5EDB9"/>
    <w:rsid w:val="1EF64139"/>
    <w:rsid w:val="1EFF1C14"/>
    <w:rsid w:val="1F007E08"/>
    <w:rsid w:val="1F379EEC"/>
    <w:rsid w:val="1F3B8C68"/>
    <w:rsid w:val="1F3F9425"/>
    <w:rsid w:val="1F5E4770"/>
    <w:rsid w:val="1F6B09C0"/>
    <w:rsid w:val="1F6B68E4"/>
    <w:rsid w:val="1F6D940A"/>
    <w:rsid w:val="1F72557D"/>
    <w:rsid w:val="1F7312F5"/>
    <w:rsid w:val="1F7F3AE3"/>
    <w:rsid w:val="1F861772"/>
    <w:rsid w:val="1F96EBB6"/>
    <w:rsid w:val="1F971355"/>
    <w:rsid w:val="1F9E33E5"/>
    <w:rsid w:val="1FA47700"/>
    <w:rsid w:val="1FA871F0"/>
    <w:rsid w:val="1FAAE0B3"/>
    <w:rsid w:val="1FAD17CB"/>
    <w:rsid w:val="1FB35CC3"/>
    <w:rsid w:val="1FBB7633"/>
    <w:rsid w:val="1FDB7878"/>
    <w:rsid w:val="1FDF97A2"/>
    <w:rsid w:val="1FE26B5A"/>
    <w:rsid w:val="1FE741BD"/>
    <w:rsid w:val="1FF7D70B"/>
    <w:rsid w:val="1FFB7D21"/>
    <w:rsid w:val="1FFBFC41"/>
    <w:rsid w:val="1FFCEAB1"/>
    <w:rsid w:val="1FFE5D09"/>
    <w:rsid w:val="1FFF10AC"/>
    <w:rsid w:val="1FFF3F72"/>
    <w:rsid w:val="1FFF7E7C"/>
    <w:rsid w:val="1FFFE346"/>
    <w:rsid w:val="201C198C"/>
    <w:rsid w:val="202325A5"/>
    <w:rsid w:val="20476A09"/>
    <w:rsid w:val="20784E15"/>
    <w:rsid w:val="20B56069"/>
    <w:rsid w:val="20C255EB"/>
    <w:rsid w:val="20E701EC"/>
    <w:rsid w:val="20FD531A"/>
    <w:rsid w:val="210E7527"/>
    <w:rsid w:val="212154AC"/>
    <w:rsid w:val="21555156"/>
    <w:rsid w:val="216435EB"/>
    <w:rsid w:val="218B6DCA"/>
    <w:rsid w:val="21C1129B"/>
    <w:rsid w:val="21C81DCC"/>
    <w:rsid w:val="21CF4A83"/>
    <w:rsid w:val="21D7200F"/>
    <w:rsid w:val="21E7AB3C"/>
    <w:rsid w:val="22010FDF"/>
    <w:rsid w:val="22097CEF"/>
    <w:rsid w:val="22283F23"/>
    <w:rsid w:val="223236E9"/>
    <w:rsid w:val="2236049E"/>
    <w:rsid w:val="22592A24"/>
    <w:rsid w:val="227930C6"/>
    <w:rsid w:val="228D26CE"/>
    <w:rsid w:val="22971DCB"/>
    <w:rsid w:val="229972C4"/>
    <w:rsid w:val="22C80A4D"/>
    <w:rsid w:val="22D327D6"/>
    <w:rsid w:val="22DDC20F"/>
    <w:rsid w:val="22DE31E8"/>
    <w:rsid w:val="22E8072A"/>
    <w:rsid w:val="23024E6A"/>
    <w:rsid w:val="23151041"/>
    <w:rsid w:val="23244DE0"/>
    <w:rsid w:val="232B2D63"/>
    <w:rsid w:val="2331661D"/>
    <w:rsid w:val="2342795C"/>
    <w:rsid w:val="2387ADE3"/>
    <w:rsid w:val="239D4B92"/>
    <w:rsid w:val="23A44A4B"/>
    <w:rsid w:val="23BE3818"/>
    <w:rsid w:val="23CE2F9E"/>
    <w:rsid w:val="23F4216F"/>
    <w:rsid w:val="24145CB3"/>
    <w:rsid w:val="24253506"/>
    <w:rsid w:val="247F4AB0"/>
    <w:rsid w:val="24B108F5"/>
    <w:rsid w:val="24C04FDC"/>
    <w:rsid w:val="25331C52"/>
    <w:rsid w:val="254C469C"/>
    <w:rsid w:val="2564005E"/>
    <w:rsid w:val="25641E0C"/>
    <w:rsid w:val="25961593"/>
    <w:rsid w:val="25A0096A"/>
    <w:rsid w:val="25AC730F"/>
    <w:rsid w:val="25BB51BC"/>
    <w:rsid w:val="25EB7E37"/>
    <w:rsid w:val="25F1588B"/>
    <w:rsid w:val="25F54442"/>
    <w:rsid w:val="25FE2142"/>
    <w:rsid w:val="261255FF"/>
    <w:rsid w:val="26235823"/>
    <w:rsid w:val="262F241A"/>
    <w:rsid w:val="263F0183"/>
    <w:rsid w:val="2649C57F"/>
    <w:rsid w:val="26CA0394"/>
    <w:rsid w:val="26CC5EBA"/>
    <w:rsid w:val="26E34FB2"/>
    <w:rsid w:val="26F0C313"/>
    <w:rsid w:val="26FFCF79"/>
    <w:rsid w:val="27127645"/>
    <w:rsid w:val="2725381D"/>
    <w:rsid w:val="27271343"/>
    <w:rsid w:val="27457A1B"/>
    <w:rsid w:val="274F0899"/>
    <w:rsid w:val="2753038A"/>
    <w:rsid w:val="27826579"/>
    <w:rsid w:val="27B626C7"/>
    <w:rsid w:val="27BA3F65"/>
    <w:rsid w:val="27C90D21"/>
    <w:rsid w:val="27FD9A29"/>
    <w:rsid w:val="281457B5"/>
    <w:rsid w:val="282835C4"/>
    <w:rsid w:val="28506677"/>
    <w:rsid w:val="286A460A"/>
    <w:rsid w:val="28712AF8"/>
    <w:rsid w:val="28722A91"/>
    <w:rsid w:val="287B3186"/>
    <w:rsid w:val="28A41C16"/>
    <w:rsid w:val="28BA7F95"/>
    <w:rsid w:val="28C606E7"/>
    <w:rsid w:val="28CF2D90"/>
    <w:rsid w:val="28DE0127"/>
    <w:rsid w:val="28EA2628"/>
    <w:rsid w:val="290114EB"/>
    <w:rsid w:val="291874AF"/>
    <w:rsid w:val="292A6EC8"/>
    <w:rsid w:val="29471828"/>
    <w:rsid w:val="29675FE9"/>
    <w:rsid w:val="297168A5"/>
    <w:rsid w:val="297E0FC2"/>
    <w:rsid w:val="298E2D97"/>
    <w:rsid w:val="298F4F7D"/>
    <w:rsid w:val="29BB1B75"/>
    <w:rsid w:val="29CA2459"/>
    <w:rsid w:val="29D55086"/>
    <w:rsid w:val="29EF8E53"/>
    <w:rsid w:val="29F37C02"/>
    <w:rsid w:val="2A5C1303"/>
    <w:rsid w:val="2ACE042F"/>
    <w:rsid w:val="2ADF0644"/>
    <w:rsid w:val="2AED63FF"/>
    <w:rsid w:val="2AEFA054"/>
    <w:rsid w:val="2AFE23BA"/>
    <w:rsid w:val="2AFF5F75"/>
    <w:rsid w:val="2B0D0850"/>
    <w:rsid w:val="2B1B11BE"/>
    <w:rsid w:val="2B270391"/>
    <w:rsid w:val="2B5B7734"/>
    <w:rsid w:val="2B5D20ED"/>
    <w:rsid w:val="2B632B65"/>
    <w:rsid w:val="2B6FA0D1"/>
    <w:rsid w:val="2B7868A6"/>
    <w:rsid w:val="2BBA2104"/>
    <w:rsid w:val="2BBA63BD"/>
    <w:rsid w:val="2BBBC8D5"/>
    <w:rsid w:val="2BCC4992"/>
    <w:rsid w:val="2BD565A4"/>
    <w:rsid w:val="2BDBAE40"/>
    <w:rsid w:val="2BDF158A"/>
    <w:rsid w:val="2BECD746"/>
    <w:rsid w:val="2BEF23F6"/>
    <w:rsid w:val="2BEF26B6"/>
    <w:rsid w:val="2BFF3DAD"/>
    <w:rsid w:val="2C132909"/>
    <w:rsid w:val="2C26606D"/>
    <w:rsid w:val="2C76D615"/>
    <w:rsid w:val="2CA7019C"/>
    <w:rsid w:val="2CBC5B97"/>
    <w:rsid w:val="2CBF3DCB"/>
    <w:rsid w:val="2CE44F8E"/>
    <w:rsid w:val="2D1063D5"/>
    <w:rsid w:val="2D1A0F9B"/>
    <w:rsid w:val="2D1E4F96"/>
    <w:rsid w:val="2D2D4A83"/>
    <w:rsid w:val="2D3622E0"/>
    <w:rsid w:val="2D651EAD"/>
    <w:rsid w:val="2D687FBF"/>
    <w:rsid w:val="2D6C636E"/>
    <w:rsid w:val="2D76605B"/>
    <w:rsid w:val="2D7DA211"/>
    <w:rsid w:val="2D853CD4"/>
    <w:rsid w:val="2D88240F"/>
    <w:rsid w:val="2DD613CD"/>
    <w:rsid w:val="2DD85084"/>
    <w:rsid w:val="2DDF246B"/>
    <w:rsid w:val="2DEF2105"/>
    <w:rsid w:val="2DFF0121"/>
    <w:rsid w:val="2DFFDDBF"/>
    <w:rsid w:val="2E0772F6"/>
    <w:rsid w:val="2E1343CF"/>
    <w:rsid w:val="2E304FD2"/>
    <w:rsid w:val="2E3E0658"/>
    <w:rsid w:val="2E412E5A"/>
    <w:rsid w:val="2E5A0665"/>
    <w:rsid w:val="2E6699D4"/>
    <w:rsid w:val="2E6C070E"/>
    <w:rsid w:val="2E7330BF"/>
    <w:rsid w:val="2E9F251F"/>
    <w:rsid w:val="2EC8340B"/>
    <w:rsid w:val="2ED12378"/>
    <w:rsid w:val="2EE3580A"/>
    <w:rsid w:val="2EEA3392"/>
    <w:rsid w:val="2EF7AEAA"/>
    <w:rsid w:val="2EFB8B27"/>
    <w:rsid w:val="2EFF98F1"/>
    <w:rsid w:val="2F087825"/>
    <w:rsid w:val="2F146650"/>
    <w:rsid w:val="2F151AED"/>
    <w:rsid w:val="2F1B28E6"/>
    <w:rsid w:val="2F1D0548"/>
    <w:rsid w:val="2F391C13"/>
    <w:rsid w:val="2F3B4EEB"/>
    <w:rsid w:val="2F524B43"/>
    <w:rsid w:val="2F778ACB"/>
    <w:rsid w:val="2F827A5E"/>
    <w:rsid w:val="2F835584"/>
    <w:rsid w:val="2FB971F8"/>
    <w:rsid w:val="2FBBA5FF"/>
    <w:rsid w:val="2FD0761C"/>
    <w:rsid w:val="2FDD1E98"/>
    <w:rsid w:val="2FE57FED"/>
    <w:rsid w:val="2FEC70B6"/>
    <w:rsid w:val="2FEF7B64"/>
    <w:rsid w:val="2FF124EE"/>
    <w:rsid w:val="2FF9AAB4"/>
    <w:rsid w:val="2FFB85A1"/>
    <w:rsid w:val="2FFD859A"/>
    <w:rsid w:val="2FFD9E33"/>
    <w:rsid w:val="3013798C"/>
    <w:rsid w:val="30314FE0"/>
    <w:rsid w:val="30A258E8"/>
    <w:rsid w:val="30C23E8A"/>
    <w:rsid w:val="30E20088"/>
    <w:rsid w:val="30EB518F"/>
    <w:rsid w:val="30FD180B"/>
    <w:rsid w:val="31132938"/>
    <w:rsid w:val="31193082"/>
    <w:rsid w:val="311C22BD"/>
    <w:rsid w:val="311C359A"/>
    <w:rsid w:val="312B5BF1"/>
    <w:rsid w:val="31434FCB"/>
    <w:rsid w:val="314A291F"/>
    <w:rsid w:val="31692558"/>
    <w:rsid w:val="320B6A13"/>
    <w:rsid w:val="322746E6"/>
    <w:rsid w:val="322E7A29"/>
    <w:rsid w:val="32342B66"/>
    <w:rsid w:val="323900EA"/>
    <w:rsid w:val="32523525"/>
    <w:rsid w:val="3259254A"/>
    <w:rsid w:val="32AF043E"/>
    <w:rsid w:val="32CB171C"/>
    <w:rsid w:val="32E4633A"/>
    <w:rsid w:val="32FCA178"/>
    <w:rsid w:val="330F0B09"/>
    <w:rsid w:val="331E2671"/>
    <w:rsid w:val="33254857"/>
    <w:rsid w:val="33605D91"/>
    <w:rsid w:val="336731F6"/>
    <w:rsid w:val="338208F9"/>
    <w:rsid w:val="33A1247D"/>
    <w:rsid w:val="33AD7074"/>
    <w:rsid w:val="33AF27A4"/>
    <w:rsid w:val="33BBC6B6"/>
    <w:rsid w:val="33D95773"/>
    <w:rsid w:val="33DFA7DF"/>
    <w:rsid w:val="33EE3BC5"/>
    <w:rsid w:val="33EE5CD3"/>
    <w:rsid w:val="33FC97E4"/>
    <w:rsid w:val="33FF5FDE"/>
    <w:rsid w:val="34232E92"/>
    <w:rsid w:val="343B01DB"/>
    <w:rsid w:val="34724AC6"/>
    <w:rsid w:val="347A477D"/>
    <w:rsid w:val="348953EB"/>
    <w:rsid w:val="34C75F13"/>
    <w:rsid w:val="34CA23D5"/>
    <w:rsid w:val="34CF37C4"/>
    <w:rsid w:val="34D97453"/>
    <w:rsid w:val="34E36A38"/>
    <w:rsid w:val="34E70363"/>
    <w:rsid w:val="34EE34A0"/>
    <w:rsid w:val="35044A71"/>
    <w:rsid w:val="3558300F"/>
    <w:rsid w:val="355FDECA"/>
    <w:rsid w:val="358FE130"/>
    <w:rsid w:val="359B77E1"/>
    <w:rsid w:val="359E465A"/>
    <w:rsid w:val="35B53FBD"/>
    <w:rsid w:val="35D15757"/>
    <w:rsid w:val="35D22DC1"/>
    <w:rsid w:val="35E16928"/>
    <w:rsid w:val="35EF3E68"/>
    <w:rsid w:val="35EF65D7"/>
    <w:rsid w:val="35FC513A"/>
    <w:rsid w:val="35FF17E6"/>
    <w:rsid w:val="360A7176"/>
    <w:rsid w:val="361F8073"/>
    <w:rsid w:val="36203B2D"/>
    <w:rsid w:val="362B206E"/>
    <w:rsid w:val="3667175C"/>
    <w:rsid w:val="366859E7"/>
    <w:rsid w:val="36981CDE"/>
    <w:rsid w:val="369D517D"/>
    <w:rsid w:val="36B10C29"/>
    <w:rsid w:val="36EE4CB9"/>
    <w:rsid w:val="36FAD55E"/>
    <w:rsid w:val="36FC6348"/>
    <w:rsid w:val="36FCB9A9"/>
    <w:rsid w:val="370C2303"/>
    <w:rsid w:val="37201FAB"/>
    <w:rsid w:val="3736112E"/>
    <w:rsid w:val="373F17B3"/>
    <w:rsid w:val="37596897"/>
    <w:rsid w:val="3767C428"/>
    <w:rsid w:val="37695060"/>
    <w:rsid w:val="376B702A"/>
    <w:rsid w:val="376D7705"/>
    <w:rsid w:val="376E6B1A"/>
    <w:rsid w:val="376FA710"/>
    <w:rsid w:val="376FEE39"/>
    <w:rsid w:val="377F0085"/>
    <w:rsid w:val="377F3A18"/>
    <w:rsid w:val="379EE7D8"/>
    <w:rsid w:val="379FF9FF"/>
    <w:rsid w:val="37A75B88"/>
    <w:rsid w:val="37BD3CFC"/>
    <w:rsid w:val="37BFC3E4"/>
    <w:rsid w:val="37D7DCBD"/>
    <w:rsid w:val="37D83F93"/>
    <w:rsid w:val="37D95283"/>
    <w:rsid w:val="37DA7D0B"/>
    <w:rsid w:val="37E27CE2"/>
    <w:rsid w:val="37E6A154"/>
    <w:rsid w:val="37E97069"/>
    <w:rsid w:val="37F5E725"/>
    <w:rsid w:val="37FB6916"/>
    <w:rsid w:val="37FF72FC"/>
    <w:rsid w:val="37FFBB37"/>
    <w:rsid w:val="3810372D"/>
    <w:rsid w:val="382673F4"/>
    <w:rsid w:val="38341748"/>
    <w:rsid w:val="383751A5"/>
    <w:rsid w:val="386A8452"/>
    <w:rsid w:val="387144E8"/>
    <w:rsid w:val="387318B4"/>
    <w:rsid w:val="3876050F"/>
    <w:rsid w:val="38A65E3F"/>
    <w:rsid w:val="38B91F1F"/>
    <w:rsid w:val="38BD6FCD"/>
    <w:rsid w:val="38CF35E8"/>
    <w:rsid w:val="38DF1C56"/>
    <w:rsid w:val="38F65019"/>
    <w:rsid w:val="3900516C"/>
    <w:rsid w:val="3902576C"/>
    <w:rsid w:val="390529E2"/>
    <w:rsid w:val="394644B4"/>
    <w:rsid w:val="394A941F"/>
    <w:rsid w:val="395F2BBE"/>
    <w:rsid w:val="39BBEA4C"/>
    <w:rsid w:val="39CFD103"/>
    <w:rsid w:val="39EA390B"/>
    <w:rsid w:val="39EED18B"/>
    <w:rsid w:val="39FA6443"/>
    <w:rsid w:val="39FB1286"/>
    <w:rsid w:val="39FD40B1"/>
    <w:rsid w:val="3A0B4AF4"/>
    <w:rsid w:val="3A1F40FB"/>
    <w:rsid w:val="3A3169B0"/>
    <w:rsid w:val="3A6033E1"/>
    <w:rsid w:val="3A773F37"/>
    <w:rsid w:val="3A7D8A81"/>
    <w:rsid w:val="3A9C399E"/>
    <w:rsid w:val="3AADE7ED"/>
    <w:rsid w:val="3AAE1176"/>
    <w:rsid w:val="3ADFDA3A"/>
    <w:rsid w:val="3AEA4709"/>
    <w:rsid w:val="3AEF7184"/>
    <w:rsid w:val="3AFD7A54"/>
    <w:rsid w:val="3AFDC1A8"/>
    <w:rsid w:val="3AFF1FBE"/>
    <w:rsid w:val="3B137428"/>
    <w:rsid w:val="3B237C76"/>
    <w:rsid w:val="3B2C8F78"/>
    <w:rsid w:val="3B2EFA5E"/>
    <w:rsid w:val="3B3A6161"/>
    <w:rsid w:val="3B5D4EDB"/>
    <w:rsid w:val="3B6E2A61"/>
    <w:rsid w:val="3B741E5F"/>
    <w:rsid w:val="3B742225"/>
    <w:rsid w:val="3B7627C9"/>
    <w:rsid w:val="3B7D5985"/>
    <w:rsid w:val="3B7F1BF9"/>
    <w:rsid w:val="3B7F8D7E"/>
    <w:rsid w:val="3B86637F"/>
    <w:rsid w:val="3BDD344F"/>
    <w:rsid w:val="3BEF83DD"/>
    <w:rsid w:val="3BFA4D80"/>
    <w:rsid w:val="3BFB2160"/>
    <w:rsid w:val="3BFD7AC9"/>
    <w:rsid w:val="3BFD87A7"/>
    <w:rsid w:val="3BFF2E18"/>
    <w:rsid w:val="3BFF3646"/>
    <w:rsid w:val="3BFF5826"/>
    <w:rsid w:val="3BFF755D"/>
    <w:rsid w:val="3C011D0B"/>
    <w:rsid w:val="3C073099"/>
    <w:rsid w:val="3C097FED"/>
    <w:rsid w:val="3C101EF8"/>
    <w:rsid w:val="3C23487B"/>
    <w:rsid w:val="3C313D46"/>
    <w:rsid w:val="3C320AB9"/>
    <w:rsid w:val="3C4542ED"/>
    <w:rsid w:val="3C4D171E"/>
    <w:rsid w:val="3C56D4FD"/>
    <w:rsid w:val="3C6B3628"/>
    <w:rsid w:val="3C7B109D"/>
    <w:rsid w:val="3C9544A2"/>
    <w:rsid w:val="3C97F41F"/>
    <w:rsid w:val="3CA1704A"/>
    <w:rsid w:val="3CA628B2"/>
    <w:rsid w:val="3CA66C99"/>
    <w:rsid w:val="3CE27D8E"/>
    <w:rsid w:val="3CE66E01"/>
    <w:rsid w:val="3CF244C2"/>
    <w:rsid w:val="3D0E1C81"/>
    <w:rsid w:val="3D1729DA"/>
    <w:rsid w:val="3D1D5D7A"/>
    <w:rsid w:val="3D344362"/>
    <w:rsid w:val="3D493CBC"/>
    <w:rsid w:val="3D57B5E2"/>
    <w:rsid w:val="3D657FF3"/>
    <w:rsid w:val="3D6A3175"/>
    <w:rsid w:val="3D7FCD30"/>
    <w:rsid w:val="3D85F673"/>
    <w:rsid w:val="3D917037"/>
    <w:rsid w:val="3DA9265A"/>
    <w:rsid w:val="3DDB5F8D"/>
    <w:rsid w:val="3DDB932C"/>
    <w:rsid w:val="3DDF4B26"/>
    <w:rsid w:val="3DF00289"/>
    <w:rsid w:val="3DF51AD7"/>
    <w:rsid w:val="3DF5436D"/>
    <w:rsid w:val="3DFB84E2"/>
    <w:rsid w:val="3DFE5CD3"/>
    <w:rsid w:val="3E265A58"/>
    <w:rsid w:val="3E3F3EAC"/>
    <w:rsid w:val="3E480196"/>
    <w:rsid w:val="3E7B8B28"/>
    <w:rsid w:val="3E7B8ED4"/>
    <w:rsid w:val="3E7D4536"/>
    <w:rsid w:val="3E907376"/>
    <w:rsid w:val="3E9BA728"/>
    <w:rsid w:val="3EAF48E3"/>
    <w:rsid w:val="3EBAA1AC"/>
    <w:rsid w:val="3EBF973A"/>
    <w:rsid w:val="3ECBF09A"/>
    <w:rsid w:val="3ED03C16"/>
    <w:rsid w:val="3EDBD334"/>
    <w:rsid w:val="3EDFC4DB"/>
    <w:rsid w:val="3EF5FAEA"/>
    <w:rsid w:val="3EF727F4"/>
    <w:rsid w:val="3EF769E8"/>
    <w:rsid w:val="3EF84818"/>
    <w:rsid w:val="3EF94D90"/>
    <w:rsid w:val="3EFBB4FC"/>
    <w:rsid w:val="3EFCCB4D"/>
    <w:rsid w:val="3EFE1C10"/>
    <w:rsid w:val="3EFEA32A"/>
    <w:rsid w:val="3EFF2150"/>
    <w:rsid w:val="3EFF7679"/>
    <w:rsid w:val="3EFFFF2E"/>
    <w:rsid w:val="3F270043"/>
    <w:rsid w:val="3F2A2C65"/>
    <w:rsid w:val="3F4766EC"/>
    <w:rsid w:val="3F4F7231"/>
    <w:rsid w:val="3F542A99"/>
    <w:rsid w:val="3F544847"/>
    <w:rsid w:val="3F5B5DE4"/>
    <w:rsid w:val="3F5F8BC1"/>
    <w:rsid w:val="3F634A8A"/>
    <w:rsid w:val="3F698942"/>
    <w:rsid w:val="3F6F1681"/>
    <w:rsid w:val="3F6F6D5D"/>
    <w:rsid w:val="3F733A9C"/>
    <w:rsid w:val="3F7D2598"/>
    <w:rsid w:val="3F7EC824"/>
    <w:rsid w:val="3F7FA2C9"/>
    <w:rsid w:val="3F81910A"/>
    <w:rsid w:val="3F87B9DA"/>
    <w:rsid w:val="3F8A112F"/>
    <w:rsid w:val="3F957663"/>
    <w:rsid w:val="3F9770D3"/>
    <w:rsid w:val="3F9C12F0"/>
    <w:rsid w:val="3FAF1A28"/>
    <w:rsid w:val="3FAF7C4B"/>
    <w:rsid w:val="3FAF7DEC"/>
    <w:rsid w:val="3FB685DF"/>
    <w:rsid w:val="3FB823C4"/>
    <w:rsid w:val="3FBB9032"/>
    <w:rsid w:val="3FBF00DF"/>
    <w:rsid w:val="3FBF9328"/>
    <w:rsid w:val="3FBFABB2"/>
    <w:rsid w:val="3FD3F9E9"/>
    <w:rsid w:val="3FDBB431"/>
    <w:rsid w:val="3FDF0B8C"/>
    <w:rsid w:val="3FDF1049"/>
    <w:rsid w:val="3FDF964F"/>
    <w:rsid w:val="3FDF9F21"/>
    <w:rsid w:val="3FE234F9"/>
    <w:rsid w:val="3FE71217"/>
    <w:rsid w:val="3FE72EE2"/>
    <w:rsid w:val="3FE77EFD"/>
    <w:rsid w:val="3FE909D7"/>
    <w:rsid w:val="3FE91433"/>
    <w:rsid w:val="3FECDEEF"/>
    <w:rsid w:val="3FEDBCDF"/>
    <w:rsid w:val="3FF33B8B"/>
    <w:rsid w:val="3FF45379"/>
    <w:rsid w:val="3FF73FD2"/>
    <w:rsid w:val="3FFB9D4B"/>
    <w:rsid w:val="3FFBCD96"/>
    <w:rsid w:val="3FFCFAE6"/>
    <w:rsid w:val="3FFD1C84"/>
    <w:rsid w:val="3FFD7C28"/>
    <w:rsid w:val="3FFE049A"/>
    <w:rsid w:val="3FFECE60"/>
    <w:rsid w:val="3FFF0D15"/>
    <w:rsid w:val="3FFF26BB"/>
    <w:rsid w:val="3FFF802D"/>
    <w:rsid w:val="3FFF8165"/>
    <w:rsid w:val="3FFFCE0E"/>
    <w:rsid w:val="3FFFD4B2"/>
    <w:rsid w:val="3FFFD847"/>
    <w:rsid w:val="40073668"/>
    <w:rsid w:val="4017638E"/>
    <w:rsid w:val="402B36DA"/>
    <w:rsid w:val="40311450"/>
    <w:rsid w:val="40775D33"/>
    <w:rsid w:val="409E221E"/>
    <w:rsid w:val="40CF6233"/>
    <w:rsid w:val="40D7128C"/>
    <w:rsid w:val="40D914A8"/>
    <w:rsid w:val="40EF2A79"/>
    <w:rsid w:val="41197AF6"/>
    <w:rsid w:val="4179594B"/>
    <w:rsid w:val="41AA4BF2"/>
    <w:rsid w:val="41BB3C8D"/>
    <w:rsid w:val="41D852BC"/>
    <w:rsid w:val="42084341"/>
    <w:rsid w:val="42343AD8"/>
    <w:rsid w:val="4253528A"/>
    <w:rsid w:val="42562684"/>
    <w:rsid w:val="42796B56"/>
    <w:rsid w:val="42974BBA"/>
    <w:rsid w:val="42BF5896"/>
    <w:rsid w:val="42E87780"/>
    <w:rsid w:val="430345BA"/>
    <w:rsid w:val="432F53AF"/>
    <w:rsid w:val="43521C71"/>
    <w:rsid w:val="435B2648"/>
    <w:rsid w:val="436F39FE"/>
    <w:rsid w:val="436F7EA2"/>
    <w:rsid w:val="4387C1CB"/>
    <w:rsid w:val="439D598B"/>
    <w:rsid w:val="439F586F"/>
    <w:rsid w:val="43B458B4"/>
    <w:rsid w:val="43CE2E1A"/>
    <w:rsid w:val="43E23E55"/>
    <w:rsid w:val="43F5BADA"/>
    <w:rsid w:val="43FF9C73"/>
    <w:rsid w:val="44487860"/>
    <w:rsid w:val="444E3F5B"/>
    <w:rsid w:val="445D5F4C"/>
    <w:rsid w:val="447D2B33"/>
    <w:rsid w:val="44804CC7"/>
    <w:rsid w:val="448C6831"/>
    <w:rsid w:val="44986F84"/>
    <w:rsid w:val="44A818BD"/>
    <w:rsid w:val="44BF6C07"/>
    <w:rsid w:val="44EE4DF6"/>
    <w:rsid w:val="44FD4E49"/>
    <w:rsid w:val="450E610E"/>
    <w:rsid w:val="45101210"/>
    <w:rsid w:val="452259CA"/>
    <w:rsid w:val="45576E3F"/>
    <w:rsid w:val="456841C6"/>
    <w:rsid w:val="45A51959"/>
    <w:rsid w:val="45AFB436"/>
    <w:rsid w:val="45C07047"/>
    <w:rsid w:val="460F771A"/>
    <w:rsid w:val="46164604"/>
    <w:rsid w:val="46584C1D"/>
    <w:rsid w:val="465A0995"/>
    <w:rsid w:val="466A3DB2"/>
    <w:rsid w:val="466C691A"/>
    <w:rsid w:val="467362B0"/>
    <w:rsid w:val="46A90C69"/>
    <w:rsid w:val="46B1432D"/>
    <w:rsid w:val="46CF5ECF"/>
    <w:rsid w:val="46E22739"/>
    <w:rsid w:val="46F7BF9E"/>
    <w:rsid w:val="46F85DFA"/>
    <w:rsid w:val="46FC1A4C"/>
    <w:rsid w:val="470D23CC"/>
    <w:rsid w:val="47130A3D"/>
    <w:rsid w:val="47226FE9"/>
    <w:rsid w:val="47290367"/>
    <w:rsid w:val="474156B1"/>
    <w:rsid w:val="474B6530"/>
    <w:rsid w:val="475A2C17"/>
    <w:rsid w:val="475C698F"/>
    <w:rsid w:val="47673355"/>
    <w:rsid w:val="47841A42"/>
    <w:rsid w:val="4792BBD6"/>
    <w:rsid w:val="479D1312"/>
    <w:rsid w:val="47B6609F"/>
    <w:rsid w:val="47D14C87"/>
    <w:rsid w:val="47DBADEB"/>
    <w:rsid w:val="47DFF516"/>
    <w:rsid w:val="47E6FE6A"/>
    <w:rsid w:val="47F23719"/>
    <w:rsid w:val="481132D5"/>
    <w:rsid w:val="482A25E9"/>
    <w:rsid w:val="48A21E48"/>
    <w:rsid w:val="48B40105"/>
    <w:rsid w:val="48D0773F"/>
    <w:rsid w:val="48EA1893"/>
    <w:rsid w:val="48F52BF7"/>
    <w:rsid w:val="49194B21"/>
    <w:rsid w:val="49342191"/>
    <w:rsid w:val="49521DF7"/>
    <w:rsid w:val="49A10689"/>
    <w:rsid w:val="49AE427C"/>
    <w:rsid w:val="49B91A00"/>
    <w:rsid w:val="49B91E77"/>
    <w:rsid w:val="49C1176A"/>
    <w:rsid w:val="49CA7BE0"/>
    <w:rsid w:val="49D46989"/>
    <w:rsid w:val="49E05655"/>
    <w:rsid w:val="49F6947E"/>
    <w:rsid w:val="4A1E617D"/>
    <w:rsid w:val="4A2B43F6"/>
    <w:rsid w:val="4A396053"/>
    <w:rsid w:val="4A547C6D"/>
    <w:rsid w:val="4A934476"/>
    <w:rsid w:val="4ADF590D"/>
    <w:rsid w:val="4AF56EDE"/>
    <w:rsid w:val="4AFDA391"/>
    <w:rsid w:val="4B6C29A2"/>
    <w:rsid w:val="4B756271"/>
    <w:rsid w:val="4B76EB5D"/>
    <w:rsid w:val="4B773D97"/>
    <w:rsid w:val="4B8B339F"/>
    <w:rsid w:val="4B9F509C"/>
    <w:rsid w:val="4BCFF778"/>
    <w:rsid w:val="4BEF156B"/>
    <w:rsid w:val="4BF17832"/>
    <w:rsid w:val="4BF55D0A"/>
    <w:rsid w:val="4BFF6894"/>
    <w:rsid w:val="4BFF9460"/>
    <w:rsid w:val="4C0A0767"/>
    <w:rsid w:val="4C1613AA"/>
    <w:rsid w:val="4C2D4456"/>
    <w:rsid w:val="4C8A18A8"/>
    <w:rsid w:val="4C991AEB"/>
    <w:rsid w:val="4CB16E35"/>
    <w:rsid w:val="4CD80866"/>
    <w:rsid w:val="4D183358"/>
    <w:rsid w:val="4D322326"/>
    <w:rsid w:val="4D420084"/>
    <w:rsid w:val="4D45D6C4"/>
    <w:rsid w:val="4D502AF2"/>
    <w:rsid w:val="4D5F4AE3"/>
    <w:rsid w:val="4D662315"/>
    <w:rsid w:val="4D697E74"/>
    <w:rsid w:val="4D744C72"/>
    <w:rsid w:val="4D7544C6"/>
    <w:rsid w:val="4D770CE4"/>
    <w:rsid w:val="4DA42E3E"/>
    <w:rsid w:val="4DAE7D67"/>
    <w:rsid w:val="4DBF7985"/>
    <w:rsid w:val="4DBFA24B"/>
    <w:rsid w:val="4DC4703C"/>
    <w:rsid w:val="4DC70A17"/>
    <w:rsid w:val="4DEB25A1"/>
    <w:rsid w:val="4DEDC6B0"/>
    <w:rsid w:val="4DF21835"/>
    <w:rsid w:val="4DF3DAE1"/>
    <w:rsid w:val="4DF70D55"/>
    <w:rsid w:val="4DF8BBDA"/>
    <w:rsid w:val="4DFB6EB1"/>
    <w:rsid w:val="4E003967"/>
    <w:rsid w:val="4E0336C0"/>
    <w:rsid w:val="4E0D453F"/>
    <w:rsid w:val="4E16370E"/>
    <w:rsid w:val="4E179BB0"/>
    <w:rsid w:val="4E1D3490"/>
    <w:rsid w:val="4E1E499E"/>
    <w:rsid w:val="4E3BFC92"/>
    <w:rsid w:val="4E3E3826"/>
    <w:rsid w:val="4E904552"/>
    <w:rsid w:val="4E994025"/>
    <w:rsid w:val="4EA50C1B"/>
    <w:rsid w:val="4EA604F0"/>
    <w:rsid w:val="4EB7A9A0"/>
    <w:rsid w:val="4EBCF8C1"/>
    <w:rsid w:val="4EC6BFD9"/>
    <w:rsid w:val="4ED17C62"/>
    <w:rsid w:val="4EFB2A96"/>
    <w:rsid w:val="4EFB4E9C"/>
    <w:rsid w:val="4EFE20DA"/>
    <w:rsid w:val="4EFFEAB2"/>
    <w:rsid w:val="4F0911AA"/>
    <w:rsid w:val="4F1C04F0"/>
    <w:rsid w:val="4F1E452A"/>
    <w:rsid w:val="4F302BDB"/>
    <w:rsid w:val="4F381A8F"/>
    <w:rsid w:val="4F3D70A6"/>
    <w:rsid w:val="4F5BA75B"/>
    <w:rsid w:val="4F5DF0AD"/>
    <w:rsid w:val="4F622668"/>
    <w:rsid w:val="4F674123"/>
    <w:rsid w:val="4F6D68D9"/>
    <w:rsid w:val="4F7F40B0"/>
    <w:rsid w:val="4F950C90"/>
    <w:rsid w:val="4F980780"/>
    <w:rsid w:val="4F99CB59"/>
    <w:rsid w:val="4F99FB63"/>
    <w:rsid w:val="4FA5209D"/>
    <w:rsid w:val="4FB00AA9"/>
    <w:rsid w:val="4FB70C06"/>
    <w:rsid w:val="4FBE1C0E"/>
    <w:rsid w:val="4FC41575"/>
    <w:rsid w:val="4FDCB5E3"/>
    <w:rsid w:val="4FE13ED5"/>
    <w:rsid w:val="4FF4485A"/>
    <w:rsid w:val="4FFC2F9D"/>
    <w:rsid w:val="4FFC9BF2"/>
    <w:rsid w:val="4FFD2388"/>
    <w:rsid w:val="4FFDB8D6"/>
    <w:rsid w:val="4FFDBE55"/>
    <w:rsid w:val="4FFDEEC2"/>
    <w:rsid w:val="4FFFAE15"/>
    <w:rsid w:val="50076192"/>
    <w:rsid w:val="50106568"/>
    <w:rsid w:val="501716B7"/>
    <w:rsid w:val="50504BB7"/>
    <w:rsid w:val="50720FD1"/>
    <w:rsid w:val="507F724A"/>
    <w:rsid w:val="50884351"/>
    <w:rsid w:val="50B769E4"/>
    <w:rsid w:val="50C96420"/>
    <w:rsid w:val="50CE26AB"/>
    <w:rsid w:val="50E952A0"/>
    <w:rsid w:val="50F92314"/>
    <w:rsid w:val="50FFBEE2"/>
    <w:rsid w:val="513876DF"/>
    <w:rsid w:val="513D338D"/>
    <w:rsid w:val="514069D9"/>
    <w:rsid w:val="51644DBE"/>
    <w:rsid w:val="517B2107"/>
    <w:rsid w:val="51816421"/>
    <w:rsid w:val="5195AC94"/>
    <w:rsid w:val="51A15AD3"/>
    <w:rsid w:val="51AF7DB0"/>
    <w:rsid w:val="51B318A1"/>
    <w:rsid w:val="522D3402"/>
    <w:rsid w:val="526A6404"/>
    <w:rsid w:val="527AEB54"/>
    <w:rsid w:val="529C0587"/>
    <w:rsid w:val="529E3499"/>
    <w:rsid w:val="52A5743C"/>
    <w:rsid w:val="52CB6777"/>
    <w:rsid w:val="52D715BF"/>
    <w:rsid w:val="52E8557B"/>
    <w:rsid w:val="52F4007C"/>
    <w:rsid w:val="52FC4B82"/>
    <w:rsid w:val="52FCD021"/>
    <w:rsid w:val="52FD1026"/>
    <w:rsid w:val="5315697E"/>
    <w:rsid w:val="533D6E5B"/>
    <w:rsid w:val="534C5B09"/>
    <w:rsid w:val="53603363"/>
    <w:rsid w:val="5367649F"/>
    <w:rsid w:val="537ECC24"/>
    <w:rsid w:val="539F1673"/>
    <w:rsid w:val="53AFF8A5"/>
    <w:rsid w:val="53BB7A64"/>
    <w:rsid w:val="53DD2C05"/>
    <w:rsid w:val="53E4482A"/>
    <w:rsid w:val="53EFE92C"/>
    <w:rsid w:val="53FF3627"/>
    <w:rsid w:val="54014B46"/>
    <w:rsid w:val="541C54DC"/>
    <w:rsid w:val="54300F87"/>
    <w:rsid w:val="545C3B2A"/>
    <w:rsid w:val="545D7FC8"/>
    <w:rsid w:val="545F186C"/>
    <w:rsid w:val="54686399"/>
    <w:rsid w:val="546D5D37"/>
    <w:rsid w:val="54890697"/>
    <w:rsid w:val="54992FD0"/>
    <w:rsid w:val="54B90F7D"/>
    <w:rsid w:val="54CC02B7"/>
    <w:rsid w:val="54D877AC"/>
    <w:rsid w:val="54EC75A4"/>
    <w:rsid w:val="54F621D1"/>
    <w:rsid w:val="54F7D982"/>
    <w:rsid w:val="54FE1BD3"/>
    <w:rsid w:val="552D3A2B"/>
    <w:rsid w:val="557F4D61"/>
    <w:rsid w:val="558F6181"/>
    <w:rsid w:val="55A601DF"/>
    <w:rsid w:val="55BB6066"/>
    <w:rsid w:val="55BF5803"/>
    <w:rsid w:val="55D1679A"/>
    <w:rsid w:val="55ED29C8"/>
    <w:rsid w:val="55EDD764"/>
    <w:rsid w:val="56082EE6"/>
    <w:rsid w:val="56206DD9"/>
    <w:rsid w:val="56240F2B"/>
    <w:rsid w:val="56351F04"/>
    <w:rsid w:val="565E627F"/>
    <w:rsid w:val="56622DC6"/>
    <w:rsid w:val="568F3113"/>
    <w:rsid w:val="569752EE"/>
    <w:rsid w:val="569DF89E"/>
    <w:rsid w:val="56BA5D4F"/>
    <w:rsid w:val="56C97471"/>
    <w:rsid w:val="56DD0FC5"/>
    <w:rsid w:val="56DE114E"/>
    <w:rsid w:val="56DF0A43"/>
    <w:rsid w:val="56F65C64"/>
    <w:rsid w:val="56F90260"/>
    <w:rsid w:val="56FED790"/>
    <w:rsid w:val="571E8755"/>
    <w:rsid w:val="572A7F10"/>
    <w:rsid w:val="57381EA7"/>
    <w:rsid w:val="57476D14"/>
    <w:rsid w:val="575256B8"/>
    <w:rsid w:val="575A53F2"/>
    <w:rsid w:val="576352DC"/>
    <w:rsid w:val="576D7F88"/>
    <w:rsid w:val="576FC568"/>
    <w:rsid w:val="5779D2A1"/>
    <w:rsid w:val="577AA568"/>
    <w:rsid w:val="577B2810"/>
    <w:rsid w:val="577F0095"/>
    <w:rsid w:val="57AA2DFF"/>
    <w:rsid w:val="57B123DF"/>
    <w:rsid w:val="57BE6E06"/>
    <w:rsid w:val="57DD2CF8"/>
    <w:rsid w:val="57E339B2"/>
    <w:rsid w:val="57E77B5C"/>
    <w:rsid w:val="57EB7008"/>
    <w:rsid w:val="57F7C3C7"/>
    <w:rsid w:val="57F96F7B"/>
    <w:rsid w:val="57FD7F01"/>
    <w:rsid w:val="57FDAAAE"/>
    <w:rsid w:val="57FDD2DA"/>
    <w:rsid w:val="57FE314A"/>
    <w:rsid w:val="5842572D"/>
    <w:rsid w:val="584F273A"/>
    <w:rsid w:val="587343E5"/>
    <w:rsid w:val="58920462"/>
    <w:rsid w:val="58944220"/>
    <w:rsid w:val="589870FB"/>
    <w:rsid w:val="58AE4B70"/>
    <w:rsid w:val="58C61EBA"/>
    <w:rsid w:val="58E62B79"/>
    <w:rsid w:val="59034EBC"/>
    <w:rsid w:val="59166D0F"/>
    <w:rsid w:val="59367040"/>
    <w:rsid w:val="59792B21"/>
    <w:rsid w:val="597C667F"/>
    <w:rsid w:val="59A51249"/>
    <w:rsid w:val="59B37C72"/>
    <w:rsid w:val="59F6534D"/>
    <w:rsid w:val="59FB0BBA"/>
    <w:rsid w:val="5A146C55"/>
    <w:rsid w:val="5A157E9C"/>
    <w:rsid w:val="5A427C66"/>
    <w:rsid w:val="5A4E37C8"/>
    <w:rsid w:val="5A625C12"/>
    <w:rsid w:val="5A754600"/>
    <w:rsid w:val="5A7B1344"/>
    <w:rsid w:val="5A8A4156"/>
    <w:rsid w:val="5ABA15AB"/>
    <w:rsid w:val="5ACF3F72"/>
    <w:rsid w:val="5AEB5C08"/>
    <w:rsid w:val="5AED7BD2"/>
    <w:rsid w:val="5AF9F6E5"/>
    <w:rsid w:val="5AFC7FD4"/>
    <w:rsid w:val="5AFDA415"/>
    <w:rsid w:val="5B1A029B"/>
    <w:rsid w:val="5B2169E6"/>
    <w:rsid w:val="5B3C46B5"/>
    <w:rsid w:val="5B3E4160"/>
    <w:rsid w:val="5B3F5F54"/>
    <w:rsid w:val="5B445318"/>
    <w:rsid w:val="5B674D33"/>
    <w:rsid w:val="5B722676"/>
    <w:rsid w:val="5B745BFD"/>
    <w:rsid w:val="5B7C65E8"/>
    <w:rsid w:val="5B7C71A8"/>
    <w:rsid w:val="5B7E7F79"/>
    <w:rsid w:val="5B8254B0"/>
    <w:rsid w:val="5B835E40"/>
    <w:rsid w:val="5B875BBA"/>
    <w:rsid w:val="5B99532B"/>
    <w:rsid w:val="5BAD110F"/>
    <w:rsid w:val="5BB48F5C"/>
    <w:rsid w:val="5BCA1CC1"/>
    <w:rsid w:val="5BCC3C8B"/>
    <w:rsid w:val="5BE016F9"/>
    <w:rsid w:val="5BF22FC6"/>
    <w:rsid w:val="5BF79C73"/>
    <w:rsid w:val="5BF7D47C"/>
    <w:rsid w:val="5BF900C0"/>
    <w:rsid w:val="5BF907F8"/>
    <w:rsid w:val="5BFE97B6"/>
    <w:rsid w:val="5C2C3C28"/>
    <w:rsid w:val="5C675874"/>
    <w:rsid w:val="5C7F0CFE"/>
    <w:rsid w:val="5C891B7C"/>
    <w:rsid w:val="5C8C6F77"/>
    <w:rsid w:val="5C94569E"/>
    <w:rsid w:val="5C98591B"/>
    <w:rsid w:val="5CAFD3B6"/>
    <w:rsid w:val="5CBF37EE"/>
    <w:rsid w:val="5CCB7561"/>
    <w:rsid w:val="5CE96177"/>
    <w:rsid w:val="5CF7AD71"/>
    <w:rsid w:val="5CFD6A0B"/>
    <w:rsid w:val="5D14AB22"/>
    <w:rsid w:val="5D355860"/>
    <w:rsid w:val="5D488CA0"/>
    <w:rsid w:val="5D5F0C9A"/>
    <w:rsid w:val="5D5F33DA"/>
    <w:rsid w:val="5D683540"/>
    <w:rsid w:val="5D6969B4"/>
    <w:rsid w:val="5D6E60A1"/>
    <w:rsid w:val="5D7E71DC"/>
    <w:rsid w:val="5D7E7236"/>
    <w:rsid w:val="5D7F404B"/>
    <w:rsid w:val="5D897053"/>
    <w:rsid w:val="5D8BC3E4"/>
    <w:rsid w:val="5DB66424"/>
    <w:rsid w:val="5DBD84C3"/>
    <w:rsid w:val="5DC50992"/>
    <w:rsid w:val="5DCC7F73"/>
    <w:rsid w:val="5DCFF7B8"/>
    <w:rsid w:val="5DD7237A"/>
    <w:rsid w:val="5DDE596A"/>
    <w:rsid w:val="5DF7CA10"/>
    <w:rsid w:val="5DFC4DAC"/>
    <w:rsid w:val="5DFD5A87"/>
    <w:rsid w:val="5E2E1F98"/>
    <w:rsid w:val="5E2F65E3"/>
    <w:rsid w:val="5E3567FE"/>
    <w:rsid w:val="5E3A3170"/>
    <w:rsid w:val="5E46363B"/>
    <w:rsid w:val="5E6F0B53"/>
    <w:rsid w:val="5E72B528"/>
    <w:rsid w:val="5E7A1EB6"/>
    <w:rsid w:val="5E7E4E00"/>
    <w:rsid w:val="5E7F1BBE"/>
    <w:rsid w:val="5E803A69"/>
    <w:rsid w:val="5EA73147"/>
    <w:rsid w:val="5EB153BA"/>
    <w:rsid w:val="5EB3335D"/>
    <w:rsid w:val="5EB629D1"/>
    <w:rsid w:val="5ECF3BD7"/>
    <w:rsid w:val="5EE66E12"/>
    <w:rsid w:val="5EF51742"/>
    <w:rsid w:val="5EF57055"/>
    <w:rsid w:val="5EF746E7"/>
    <w:rsid w:val="5EFD4A2F"/>
    <w:rsid w:val="5EFE8E6F"/>
    <w:rsid w:val="5EFEE9EB"/>
    <w:rsid w:val="5EFF1ED4"/>
    <w:rsid w:val="5EFF4E47"/>
    <w:rsid w:val="5EFFFA14"/>
    <w:rsid w:val="5F100333"/>
    <w:rsid w:val="5F245B8C"/>
    <w:rsid w:val="5F2FF307"/>
    <w:rsid w:val="5F324353"/>
    <w:rsid w:val="5F3538F6"/>
    <w:rsid w:val="5F3A63E9"/>
    <w:rsid w:val="5F3D5E8B"/>
    <w:rsid w:val="5F3D937A"/>
    <w:rsid w:val="5F3F199C"/>
    <w:rsid w:val="5F4F96A2"/>
    <w:rsid w:val="5F532991"/>
    <w:rsid w:val="5F559B32"/>
    <w:rsid w:val="5F5A7800"/>
    <w:rsid w:val="5F5F77BD"/>
    <w:rsid w:val="5F6E0A87"/>
    <w:rsid w:val="5F753EEB"/>
    <w:rsid w:val="5F7A755A"/>
    <w:rsid w:val="5F7F2386"/>
    <w:rsid w:val="5F7FD5B3"/>
    <w:rsid w:val="5F8E1258"/>
    <w:rsid w:val="5F9A6948"/>
    <w:rsid w:val="5F9FDBD9"/>
    <w:rsid w:val="5FA71923"/>
    <w:rsid w:val="5FAF5A25"/>
    <w:rsid w:val="5FB3926C"/>
    <w:rsid w:val="5FBA5308"/>
    <w:rsid w:val="5FBB4161"/>
    <w:rsid w:val="5FBC36BB"/>
    <w:rsid w:val="5FBD3E54"/>
    <w:rsid w:val="5FBF205F"/>
    <w:rsid w:val="5FBFCF1B"/>
    <w:rsid w:val="5FBFD24A"/>
    <w:rsid w:val="5FC6A65C"/>
    <w:rsid w:val="5FC75777"/>
    <w:rsid w:val="5FCB6008"/>
    <w:rsid w:val="5FCB6E30"/>
    <w:rsid w:val="5FCD7FD2"/>
    <w:rsid w:val="5FCF3D4A"/>
    <w:rsid w:val="5FD5710A"/>
    <w:rsid w:val="5FD604B4"/>
    <w:rsid w:val="5FD6B635"/>
    <w:rsid w:val="5FD78ED5"/>
    <w:rsid w:val="5FDC0215"/>
    <w:rsid w:val="5FDD0845"/>
    <w:rsid w:val="5FDD6569"/>
    <w:rsid w:val="5FDF2071"/>
    <w:rsid w:val="5FDF69C8"/>
    <w:rsid w:val="5FE03C0E"/>
    <w:rsid w:val="5FE53CA3"/>
    <w:rsid w:val="5FE62EAE"/>
    <w:rsid w:val="5FE72158"/>
    <w:rsid w:val="5FE76493"/>
    <w:rsid w:val="5FE7DB63"/>
    <w:rsid w:val="5FED186C"/>
    <w:rsid w:val="5FED8F69"/>
    <w:rsid w:val="5FEE3A34"/>
    <w:rsid w:val="5FEE7B0C"/>
    <w:rsid w:val="5FEFEECF"/>
    <w:rsid w:val="5FF282B4"/>
    <w:rsid w:val="5FF316AD"/>
    <w:rsid w:val="5FF3BF64"/>
    <w:rsid w:val="5FF5B865"/>
    <w:rsid w:val="5FF78F8C"/>
    <w:rsid w:val="5FFD122F"/>
    <w:rsid w:val="5FFDDBB9"/>
    <w:rsid w:val="5FFDF700"/>
    <w:rsid w:val="5FFE05DE"/>
    <w:rsid w:val="5FFE2AAF"/>
    <w:rsid w:val="5FFFA7B8"/>
    <w:rsid w:val="6017749F"/>
    <w:rsid w:val="60317C2C"/>
    <w:rsid w:val="60344E6C"/>
    <w:rsid w:val="604F4E8B"/>
    <w:rsid w:val="60600E46"/>
    <w:rsid w:val="607C7302"/>
    <w:rsid w:val="60926DCC"/>
    <w:rsid w:val="60996106"/>
    <w:rsid w:val="60D13AF2"/>
    <w:rsid w:val="60D64C64"/>
    <w:rsid w:val="61275E6A"/>
    <w:rsid w:val="614427D6"/>
    <w:rsid w:val="614442C4"/>
    <w:rsid w:val="61477F0A"/>
    <w:rsid w:val="61500EBB"/>
    <w:rsid w:val="615269E1"/>
    <w:rsid w:val="615838CB"/>
    <w:rsid w:val="618741B1"/>
    <w:rsid w:val="619DAFF6"/>
    <w:rsid w:val="619F7D9E"/>
    <w:rsid w:val="61B431F8"/>
    <w:rsid w:val="61BF2985"/>
    <w:rsid w:val="61C40F61"/>
    <w:rsid w:val="61C62F2B"/>
    <w:rsid w:val="61FF4171"/>
    <w:rsid w:val="624520A2"/>
    <w:rsid w:val="627E58E1"/>
    <w:rsid w:val="629065E6"/>
    <w:rsid w:val="62960B4F"/>
    <w:rsid w:val="629D1EDE"/>
    <w:rsid w:val="629F2DC4"/>
    <w:rsid w:val="62C70D09"/>
    <w:rsid w:val="62E418BB"/>
    <w:rsid w:val="62E6182C"/>
    <w:rsid w:val="62FB0B29"/>
    <w:rsid w:val="62FEB312"/>
    <w:rsid w:val="62FF66F4"/>
    <w:rsid w:val="631308CE"/>
    <w:rsid w:val="631F3CCA"/>
    <w:rsid w:val="6345ACCA"/>
    <w:rsid w:val="634F8E1D"/>
    <w:rsid w:val="635B58F5"/>
    <w:rsid w:val="6370314E"/>
    <w:rsid w:val="638E8757"/>
    <w:rsid w:val="63984453"/>
    <w:rsid w:val="63C4349A"/>
    <w:rsid w:val="63CE40CD"/>
    <w:rsid w:val="63D731CD"/>
    <w:rsid w:val="63DD630A"/>
    <w:rsid w:val="63E853DA"/>
    <w:rsid w:val="63EEAC43"/>
    <w:rsid w:val="63FF303A"/>
    <w:rsid w:val="63FF3E70"/>
    <w:rsid w:val="641B677C"/>
    <w:rsid w:val="642052D3"/>
    <w:rsid w:val="64406FC4"/>
    <w:rsid w:val="64496ADF"/>
    <w:rsid w:val="64656A2B"/>
    <w:rsid w:val="648275DD"/>
    <w:rsid w:val="64963088"/>
    <w:rsid w:val="64C15017"/>
    <w:rsid w:val="64DF4EA5"/>
    <w:rsid w:val="64E20A49"/>
    <w:rsid w:val="65046244"/>
    <w:rsid w:val="651346D9"/>
    <w:rsid w:val="658E5B0E"/>
    <w:rsid w:val="65BD5111"/>
    <w:rsid w:val="65DF2AC9"/>
    <w:rsid w:val="65F8E01F"/>
    <w:rsid w:val="65FB389D"/>
    <w:rsid w:val="65FF94CF"/>
    <w:rsid w:val="66187ACD"/>
    <w:rsid w:val="662446C4"/>
    <w:rsid w:val="662F58D0"/>
    <w:rsid w:val="663DD89C"/>
    <w:rsid w:val="666C76D2"/>
    <w:rsid w:val="66793B9D"/>
    <w:rsid w:val="667DC710"/>
    <w:rsid w:val="668F1B3D"/>
    <w:rsid w:val="66AD6628"/>
    <w:rsid w:val="66BB0823"/>
    <w:rsid w:val="66BEE3BE"/>
    <w:rsid w:val="66DF84DB"/>
    <w:rsid w:val="66F139FC"/>
    <w:rsid w:val="66F762C4"/>
    <w:rsid w:val="66FE1558"/>
    <w:rsid w:val="66FF6233"/>
    <w:rsid w:val="670F8C61"/>
    <w:rsid w:val="6733939A"/>
    <w:rsid w:val="6773280A"/>
    <w:rsid w:val="677DAC98"/>
    <w:rsid w:val="677FC9CA"/>
    <w:rsid w:val="679118E5"/>
    <w:rsid w:val="67955879"/>
    <w:rsid w:val="67A1421E"/>
    <w:rsid w:val="67B22471"/>
    <w:rsid w:val="67BB3648"/>
    <w:rsid w:val="67BB8599"/>
    <w:rsid w:val="67BCD209"/>
    <w:rsid w:val="67C682E8"/>
    <w:rsid w:val="67C6B949"/>
    <w:rsid w:val="67D4F77C"/>
    <w:rsid w:val="67DE664D"/>
    <w:rsid w:val="67DF02AE"/>
    <w:rsid w:val="67DF9463"/>
    <w:rsid w:val="67E740D5"/>
    <w:rsid w:val="67F72E90"/>
    <w:rsid w:val="67FF5E6C"/>
    <w:rsid w:val="67FFBC6C"/>
    <w:rsid w:val="68030ABA"/>
    <w:rsid w:val="680D18B3"/>
    <w:rsid w:val="684F3861"/>
    <w:rsid w:val="685F744E"/>
    <w:rsid w:val="68729116"/>
    <w:rsid w:val="68805EF4"/>
    <w:rsid w:val="68CF0917"/>
    <w:rsid w:val="68E63EB3"/>
    <w:rsid w:val="68FB795E"/>
    <w:rsid w:val="6915B0B1"/>
    <w:rsid w:val="69344C1E"/>
    <w:rsid w:val="694F3806"/>
    <w:rsid w:val="6958090C"/>
    <w:rsid w:val="697B9B10"/>
    <w:rsid w:val="69B67D29"/>
    <w:rsid w:val="69D32689"/>
    <w:rsid w:val="69D92217"/>
    <w:rsid w:val="69DC7ED6"/>
    <w:rsid w:val="69E85983"/>
    <w:rsid w:val="6A694148"/>
    <w:rsid w:val="6A6E0F4A"/>
    <w:rsid w:val="6A841BD5"/>
    <w:rsid w:val="6AB01B7C"/>
    <w:rsid w:val="6AB79021"/>
    <w:rsid w:val="6B17780C"/>
    <w:rsid w:val="6B483DA0"/>
    <w:rsid w:val="6B4E0FC1"/>
    <w:rsid w:val="6B548650"/>
    <w:rsid w:val="6B77B3A6"/>
    <w:rsid w:val="6B7EEDCA"/>
    <w:rsid w:val="6B7F5EED"/>
    <w:rsid w:val="6B842A13"/>
    <w:rsid w:val="6B8AE97C"/>
    <w:rsid w:val="6B9812B1"/>
    <w:rsid w:val="6B9C101A"/>
    <w:rsid w:val="6BB36F29"/>
    <w:rsid w:val="6BB377B1"/>
    <w:rsid w:val="6BB42046"/>
    <w:rsid w:val="6BBE3DC2"/>
    <w:rsid w:val="6BBFC97F"/>
    <w:rsid w:val="6BC229B5"/>
    <w:rsid w:val="6BC61B64"/>
    <w:rsid w:val="6BD44496"/>
    <w:rsid w:val="6BD9385B"/>
    <w:rsid w:val="6BEFB328"/>
    <w:rsid w:val="6BEFB488"/>
    <w:rsid w:val="6BF50910"/>
    <w:rsid w:val="6BF6AAE8"/>
    <w:rsid w:val="6BFF089F"/>
    <w:rsid w:val="6BFF26AE"/>
    <w:rsid w:val="6BFF73B4"/>
    <w:rsid w:val="6BFFCB9F"/>
    <w:rsid w:val="6C0E1756"/>
    <w:rsid w:val="6C1B3E73"/>
    <w:rsid w:val="6C223454"/>
    <w:rsid w:val="6C264CF2"/>
    <w:rsid w:val="6C2E1DF8"/>
    <w:rsid w:val="6C3BD129"/>
    <w:rsid w:val="6C44786E"/>
    <w:rsid w:val="6C67A4D3"/>
    <w:rsid w:val="6C6F6C3D"/>
    <w:rsid w:val="6C81565C"/>
    <w:rsid w:val="6C877F6F"/>
    <w:rsid w:val="6CBB71E0"/>
    <w:rsid w:val="6CC22541"/>
    <w:rsid w:val="6CCE7137"/>
    <w:rsid w:val="6CED61C8"/>
    <w:rsid w:val="6CEFFF75"/>
    <w:rsid w:val="6CF3AF2E"/>
    <w:rsid w:val="6CFBFFB7"/>
    <w:rsid w:val="6D050DAB"/>
    <w:rsid w:val="6D090170"/>
    <w:rsid w:val="6D1948A3"/>
    <w:rsid w:val="6D2869FB"/>
    <w:rsid w:val="6D4318D3"/>
    <w:rsid w:val="6D5952C8"/>
    <w:rsid w:val="6D6A6E60"/>
    <w:rsid w:val="6D6D6950"/>
    <w:rsid w:val="6D712BFE"/>
    <w:rsid w:val="6D723F67"/>
    <w:rsid w:val="6D763083"/>
    <w:rsid w:val="6D785A21"/>
    <w:rsid w:val="6D79BBDF"/>
    <w:rsid w:val="6D7AB6EC"/>
    <w:rsid w:val="6D7E778E"/>
    <w:rsid w:val="6D844256"/>
    <w:rsid w:val="6D8FC05E"/>
    <w:rsid w:val="6DB215E6"/>
    <w:rsid w:val="6DB4632D"/>
    <w:rsid w:val="6DD3C323"/>
    <w:rsid w:val="6DDFBB91"/>
    <w:rsid w:val="6DF17A4B"/>
    <w:rsid w:val="6E042A98"/>
    <w:rsid w:val="6E313E22"/>
    <w:rsid w:val="6E3E13ED"/>
    <w:rsid w:val="6E445903"/>
    <w:rsid w:val="6E4F6056"/>
    <w:rsid w:val="6E652A84"/>
    <w:rsid w:val="6E67DFAA"/>
    <w:rsid w:val="6E7189E6"/>
    <w:rsid w:val="6E731D44"/>
    <w:rsid w:val="6E865191"/>
    <w:rsid w:val="6E922774"/>
    <w:rsid w:val="6E9FE910"/>
    <w:rsid w:val="6EB2D5F6"/>
    <w:rsid w:val="6EBF00CB"/>
    <w:rsid w:val="6EC75B4D"/>
    <w:rsid w:val="6ECE10B2"/>
    <w:rsid w:val="6EDBDC41"/>
    <w:rsid w:val="6EDF27CD"/>
    <w:rsid w:val="6EDF9FFA"/>
    <w:rsid w:val="6EE1C4F7"/>
    <w:rsid w:val="6EE2CC8C"/>
    <w:rsid w:val="6EE5345E"/>
    <w:rsid w:val="6EF34833"/>
    <w:rsid w:val="6EF68026"/>
    <w:rsid w:val="6EF7DE92"/>
    <w:rsid w:val="6EFF0F73"/>
    <w:rsid w:val="6EFFAF79"/>
    <w:rsid w:val="6F045092"/>
    <w:rsid w:val="6F0F5F11"/>
    <w:rsid w:val="6F125A01"/>
    <w:rsid w:val="6F15950B"/>
    <w:rsid w:val="6F5E1E54"/>
    <w:rsid w:val="6F6671CC"/>
    <w:rsid w:val="6F6A3147"/>
    <w:rsid w:val="6F745D74"/>
    <w:rsid w:val="6F767D3E"/>
    <w:rsid w:val="6F772A2A"/>
    <w:rsid w:val="6F7925C0"/>
    <w:rsid w:val="6F7D01E8"/>
    <w:rsid w:val="6F7F0092"/>
    <w:rsid w:val="6F7F431D"/>
    <w:rsid w:val="6F963F3C"/>
    <w:rsid w:val="6F9F0A68"/>
    <w:rsid w:val="6FA7A55B"/>
    <w:rsid w:val="6FADC22D"/>
    <w:rsid w:val="6FAE66D0"/>
    <w:rsid w:val="6FAE800B"/>
    <w:rsid w:val="6FAF7376"/>
    <w:rsid w:val="6FAFB524"/>
    <w:rsid w:val="6FB67073"/>
    <w:rsid w:val="6FB6F3DA"/>
    <w:rsid w:val="6FBB3C45"/>
    <w:rsid w:val="6FBBF37F"/>
    <w:rsid w:val="6FBF669E"/>
    <w:rsid w:val="6FBFEBBE"/>
    <w:rsid w:val="6FC05BA7"/>
    <w:rsid w:val="6FDACE03"/>
    <w:rsid w:val="6FDDA5BC"/>
    <w:rsid w:val="6FDE2207"/>
    <w:rsid w:val="6FDEC617"/>
    <w:rsid w:val="6FDF18CC"/>
    <w:rsid w:val="6FDF3F84"/>
    <w:rsid w:val="6FDF47D6"/>
    <w:rsid w:val="6FDF92AB"/>
    <w:rsid w:val="6FDFE227"/>
    <w:rsid w:val="6FDFEDC2"/>
    <w:rsid w:val="6FE2E768"/>
    <w:rsid w:val="6FE8A5E4"/>
    <w:rsid w:val="6FEA072C"/>
    <w:rsid w:val="6FEAEB60"/>
    <w:rsid w:val="6FEC4AB5"/>
    <w:rsid w:val="6FECD340"/>
    <w:rsid w:val="6FEF2A61"/>
    <w:rsid w:val="6FEF32B0"/>
    <w:rsid w:val="6FEF5D43"/>
    <w:rsid w:val="6FF27305"/>
    <w:rsid w:val="6FF43359"/>
    <w:rsid w:val="6FF4DFA3"/>
    <w:rsid w:val="6FF7C82D"/>
    <w:rsid w:val="6FFB661A"/>
    <w:rsid w:val="6FFB68D0"/>
    <w:rsid w:val="6FFB8F71"/>
    <w:rsid w:val="6FFBC9EF"/>
    <w:rsid w:val="6FFBE145"/>
    <w:rsid w:val="6FFDC60F"/>
    <w:rsid w:val="6FFF1E3B"/>
    <w:rsid w:val="6FFF42E7"/>
    <w:rsid w:val="6FFFFFFD"/>
    <w:rsid w:val="703F45D4"/>
    <w:rsid w:val="704F470C"/>
    <w:rsid w:val="7052426C"/>
    <w:rsid w:val="705A7660"/>
    <w:rsid w:val="705D2CAC"/>
    <w:rsid w:val="706A4256"/>
    <w:rsid w:val="707A11F3"/>
    <w:rsid w:val="709B5583"/>
    <w:rsid w:val="70BF5715"/>
    <w:rsid w:val="70C90342"/>
    <w:rsid w:val="713A18C3"/>
    <w:rsid w:val="71632544"/>
    <w:rsid w:val="718C1A9B"/>
    <w:rsid w:val="719646C8"/>
    <w:rsid w:val="71A14E1B"/>
    <w:rsid w:val="71A5490B"/>
    <w:rsid w:val="71BECC6A"/>
    <w:rsid w:val="71C01745"/>
    <w:rsid w:val="71D76A8E"/>
    <w:rsid w:val="71EB2463"/>
    <w:rsid w:val="71ED4302"/>
    <w:rsid w:val="71F214A0"/>
    <w:rsid w:val="71F31B1A"/>
    <w:rsid w:val="71F4BA5E"/>
    <w:rsid w:val="71F9AEAD"/>
    <w:rsid w:val="71FDE49D"/>
    <w:rsid w:val="72200435"/>
    <w:rsid w:val="722EC162"/>
    <w:rsid w:val="723ECC20"/>
    <w:rsid w:val="725B76BF"/>
    <w:rsid w:val="72671EDC"/>
    <w:rsid w:val="726D4D46"/>
    <w:rsid w:val="72A42E14"/>
    <w:rsid w:val="72BF246F"/>
    <w:rsid w:val="72BF579E"/>
    <w:rsid w:val="72C47013"/>
    <w:rsid w:val="72CD0F27"/>
    <w:rsid w:val="72D9DE0B"/>
    <w:rsid w:val="72E27499"/>
    <w:rsid w:val="72E9821C"/>
    <w:rsid w:val="72EE6A3C"/>
    <w:rsid w:val="72FA4732"/>
    <w:rsid w:val="72FFB6AE"/>
    <w:rsid w:val="73193542"/>
    <w:rsid w:val="732950C8"/>
    <w:rsid w:val="733868CE"/>
    <w:rsid w:val="734D46FF"/>
    <w:rsid w:val="735F0AE9"/>
    <w:rsid w:val="735FA70F"/>
    <w:rsid w:val="736E51D0"/>
    <w:rsid w:val="736F40BD"/>
    <w:rsid w:val="736F5C2F"/>
    <w:rsid w:val="737352F5"/>
    <w:rsid w:val="73742C83"/>
    <w:rsid w:val="737A5923"/>
    <w:rsid w:val="737F6CCD"/>
    <w:rsid w:val="739C1D3D"/>
    <w:rsid w:val="73D7AD42"/>
    <w:rsid w:val="73DB5C23"/>
    <w:rsid w:val="73ED0460"/>
    <w:rsid w:val="73ED87DA"/>
    <w:rsid w:val="73EDAA7E"/>
    <w:rsid w:val="73EF0F43"/>
    <w:rsid w:val="73EF9784"/>
    <w:rsid w:val="73F51CFD"/>
    <w:rsid w:val="73F5F776"/>
    <w:rsid w:val="73FF60DB"/>
    <w:rsid w:val="73FF6548"/>
    <w:rsid w:val="7400407A"/>
    <w:rsid w:val="74017DF2"/>
    <w:rsid w:val="74035919"/>
    <w:rsid w:val="740A515B"/>
    <w:rsid w:val="741464CE"/>
    <w:rsid w:val="742B305A"/>
    <w:rsid w:val="745D4A4D"/>
    <w:rsid w:val="74624D35"/>
    <w:rsid w:val="7463285B"/>
    <w:rsid w:val="748E78D8"/>
    <w:rsid w:val="749F45AC"/>
    <w:rsid w:val="74A8074B"/>
    <w:rsid w:val="74BC026C"/>
    <w:rsid w:val="74CC6652"/>
    <w:rsid w:val="74E9E73F"/>
    <w:rsid w:val="74F7B606"/>
    <w:rsid w:val="74F82FA3"/>
    <w:rsid w:val="74F86762"/>
    <w:rsid w:val="74F89653"/>
    <w:rsid w:val="74FA5028"/>
    <w:rsid w:val="750D1A10"/>
    <w:rsid w:val="750E62CF"/>
    <w:rsid w:val="75220020"/>
    <w:rsid w:val="754C32EF"/>
    <w:rsid w:val="75614FED"/>
    <w:rsid w:val="7566F933"/>
    <w:rsid w:val="757675BD"/>
    <w:rsid w:val="7577C395"/>
    <w:rsid w:val="759A9679"/>
    <w:rsid w:val="759FDAE2"/>
    <w:rsid w:val="75A82C1C"/>
    <w:rsid w:val="75AF3D57"/>
    <w:rsid w:val="75B96BD7"/>
    <w:rsid w:val="75C80BC8"/>
    <w:rsid w:val="75CF63FA"/>
    <w:rsid w:val="75DC4673"/>
    <w:rsid w:val="75E55C1E"/>
    <w:rsid w:val="75ED6548"/>
    <w:rsid w:val="75F34012"/>
    <w:rsid w:val="75F57AD2"/>
    <w:rsid w:val="75F96FD3"/>
    <w:rsid w:val="75FD72B7"/>
    <w:rsid w:val="75FDE37E"/>
    <w:rsid w:val="75FECC34"/>
    <w:rsid w:val="75FEFDCC"/>
    <w:rsid w:val="75FFA24D"/>
    <w:rsid w:val="75FFA5E6"/>
    <w:rsid w:val="75FFADA6"/>
    <w:rsid w:val="76045978"/>
    <w:rsid w:val="76320737"/>
    <w:rsid w:val="76404C52"/>
    <w:rsid w:val="764F753B"/>
    <w:rsid w:val="7661F221"/>
    <w:rsid w:val="766308F1"/>
    <w:rsid w:val="7677D78C"/>
    <w:rsid w:val="767EFAD6"/>
    <w:rsid w:val="76AD6209"/>
    <w:rsid w:val="76AE4262"/>
    <w:rsid w:val="76B76DE9"/>
    <w:rsid w:val="76BFBBD1"/>
    <w:rsid w:val="76D1D105"/>
    <w:rsid w:val="76DB438D"/>
    <w:rsid w:val="76E483FF"/>
    <w:rsid w:val="76E93FEE"/>
    <w:rsid w:val="76F5AF00"/>
    <w:rsid w:val="76F78069"/>
    <w:rsid w:val="76F949E3"/>
    <w:rsid w:val="76FF1D41"/>
    <w:rsid w:val="76FF92F6"/>
    <w:rsid w:val="76FFC4E6"/>
    <w:rsid w:val="76FFC791"/>
    <w:rsid w:val="771126B5"/>
    <w:rsid w:val="77142FDB"/>
    <w:rsid w:val="77302EC9"/>
    <w:rsid w:val="773908C2"/>
    <w:rsid w:val="77416E84"/>
    <w:rsid w:val="774B1BF5"/>
    <w:rsid w:val="7759A6AF"/>
    <w:rsid w:val="775B1844"/>
    <w:rsid w:val="775B242C"/>
    <w:rsid w:val="775BBB2D"/>
    <w:rsid w:val="775BD411"/>
    <w:rsid w:val="77772759"/>
    <w:rsid w:val="7779C1FB"/>
    <w:rsid w:val="777D9C5E"/>
    <w:rsid w:val="779526D8"/>
    <w:rsid w:val="77974F55"/>
    <w:rsid w:val="779AF352"/>
    <w:rsid w:val="779CC715"/>
    <w:rsid w:val="779F7996"/>
    <w:rsid w:val="779F825C"/>
    <w:rsid w:val="77A90F8A"/>
    <w:rsid w:val="77AF8AAF"/>
    <w:rsid w:val="77AFA194"/>
    <w:rsid w:val="77AFC225"/>
    <w:rsid w:val="77B6A35A"/>
    <w:rsid w:val="77BF83FC"/>
    <w:rsid w:val="77D3258C"/>
    <w:rsid w:val="77D36DA9"/>
    <w:rsid w:val="77D4778F"/>
    <w:rsid w:val="77D9A530"/>
    <w:rsid w:val="77DDDCE0"/>
    <w:rsid w:val="77DE40A6"/>
    <w:rsid w:val="77DF1408"/>
    <w:rsid w:val="77DFBF64"/>
    <w:rsid w:val="77E39D69"/>
    <w:rsid w:val="77E3DFAF"/>
    <w:rsid w:val="77E66D90"/>
    <w:rsid w:val="77E78329"/>
    <w:rsid w:val="77EA2195"/>
    <w:rsid w:val="77EBE8B3"/>
    <w:rsid w:val="77ECFF41"/>
    <w:rsid w:val="77EE8097"/>
    <w:rsid w:val="77EF42E3"/>
    <w:rsid w:val="77EF8084"/>
    <w:rsid w:val="77EF85F6"/>
    <w:rsid w:val="77EFCB73"/>
    <w:rsid w:val="77F3F6B5"/>
    <w:rsid w:val="77F7B2D7"/>
    <w:rsid w:val="77F95934"/>
    <w:rsid w:val="77FBA0E8"/>
    <w:rsid w:val="77FD7320"/>
    <w:rsid w:val="77FD9D71"/>
    <w:rsid w:val="77FE1012"/>
    <w:rsid w:val="77FF536D"/>
    <w:rsid w:val="77FFDBF1"/>
    <w:rsid w:val="77FFF7D3"/>
    <w:rsid w:val="78056103"/>
    <w:rsid w:val="78112CFA"/>
    <w:rsid w:val="78270C8E"/>
    <w:rsid w:val="786916DD"/>
    <w:rsid w:val="786F7A21"/>
    <w:rsid w:val="787F54D0"/>
    <w:rsid w:val="78801C2E"/>
    <w:rsid w:val="789456D9"/>
    <w:rsid w:val="78A70F68"/>
    <w:rsid w:val="78AF8949"/>
    <w:rsid w:val="78B63C90"/>
    <w:rsid w:val="78D7E601"/>
    <w:rsid w:val="78D90938"/>
    <w:rsid w:val="78DBADEB"/>
    <w:rsid w:val="78F9001F"/>
    <w:rsid w:val="78FB5462"/>
    <w:rsid w:val="78FBB6BC"/>
    <w:rsid w:val="78FC7A5C"/>
    <w:rsid w:val="78FFA169"/>
    <w:rsid w:val="792B09D7"/>
    <w:rsid w:val="795F63E1"/>
    <w:rsid w:val="796F6DCC"/>
    <w:rsid w:val="797EDA2F"/>
    <w:rsid w:val="797F9426"/>
    <w:rsid w:val="79825532"/>
    <w:rsid w:val="79A7C3CE"/>
    <w:rsid w:val="79B741D8"/>
    <w:rsid w:val="79BECE08"/>
    <w:rsid w:val="79BF68F0"/>
    <w:rsid w:val="79BF9E63"/>
    <w:rsid w:val="79C9E898"/>
    <w:rsid w:val="79D25585"/>
    <w:rsid w:val="79D7AEC9"/>
    <w:rsid w:val="79E504B6"/>
    <w:rsid w:val="79E6EA61"/>
    <w:rsid w:val="79EB9CF6"/>
    <w:rsid w:val="79EEAB78"/>
    <w:rsid w:val="79F43775"/>
    <w:rsid w:val="79F785D0"/>
    <w:rsid w:val="79F95CD7"/>
    <w:rsid w:val="79FB63D9"/>
    <w:rsid w:val="79FDDE5A"/>
    <w:rsid w:val="79FEDF68"/>
    <w:rsid w:val="79FFBA98"/>
    <w:rsid w:val="7A100D4F"/>
    <w:rsid w:val="7A197CD3"/>
    <w:rsid w:val="7A2E1215"/>
    <w:rsid w:val="7A440A39"/>
    <w:rsid w:val="7A4D1FE3"/>
    <w:rsid w:val="7A5FA1A9"/>
    <w:rsid w:val="7A699D66"/>
    <w:rsid w:val="7A6A0BEA"/>
    <w:rsid w:val="7A7B26AD"/>
    <w:rsid w:val="7A7EF35C"/>
    <w:rsid w:val="7A8A0B42"/>
    <w:rsid w:val="7A94551C"/>
    <w:rsid w:val="7A9BA5A1"/>
    <w:rsid w:val="7A9FF387"/>
    <w:rsid w:val="7AAB2866"/>
    <w:rsid w:val="7AAF4018"/>
    <w:rsid w:val="7ADAE95A"/>
    <w:rsid w:val="7ADE49EA"/>
    <w:rsid w:val="7ADF457A"/>
    <w:rsid w:val="7AF03C47"/>
    <w:rsid w:val="7AFF4CC9"/>
    <w:rsid w:val="7AFFFB9E"/>
    <w:rsid w:val="7B022DCE"/>
    <w:rsid w:val="7B0FEAB5"/>
    <w:rsid w:val="7B4231CA"/>
    <w:rsid w:val="7B446F42"/>
    <w:rsid w:val="7B58479C"/>
    <w:rsid w:val="7B5DF3C0"/>
    <w:rsid w:val="7B5F39AC"/>
    <w:rsid w:val="7B5FFF93"/>
    <w:rsid w:val="7B6DAA2B"/>
    <w:rsid w:val="7B712121"/>
    <w:rsid w:val="7B721427"/>
    <w:rsid w:val="7B75706E"/>
    <w:rsid w:val="7B77D2C0"/>
    <w:rsid w:val="7B7B8325"/>
    <w:rsid w:val="7B7F77C4"/>
    <w:rsid w:val="7B7FDB7E"/>
    <w:rsid w:val="7B8CC94F"/>
    <w:rsid w:val="7B901CA0"/>
    <w:rsid w:val="7B9F57C5"/>
    <w:rsid w:val="7BAEBFDC"/>
    <w:rsid w:val="7BB588EC"/>
    <w:rsid w:val="7BB6E092"/>
    <w:rsid w:val="7BB701B2"/>
    <w:rsid w:val="7BB93D3B"/>
    <w:rsid w:val="7BB9E00C"/>
    <w:rsid w:val="7BBF33D1"/>
    <w:rsid w:val="7BBFF8BC"/>
    <w:rsid w:val="7BC12723"/>
    <w:rsid w:val="7BCF64EA"/>
    <w:rsid w:val="7BCFF887"/>
    <w:rsid w:val="7BD55DED"/>
    <w:rsid w:val="7BD71195"/>
    <w:rsid w:val="7BDC861B"/>
    <w:rsid w:val="7BDDCA72"/>
    <w:rsid w:val="7BDF270B"/>
    <w:rsid w:val="7BDF8FBB"/>
    <w:rsid w:val="7BDFC182"/>
    <w:rsid w:val="7BE17260"/>
    <w:rsid w:val="7BE25051"/>
    <w:rsid w:val="7BEBE0E7"/>
    <w:rsid w:val="7BEF28E5"/>
    <w:rsid w:val="7BF44B37"/>
    <w:rsid w:val="7BF5000C"/>
    <w:rsid w:val="7BF565A9"/>
    <w:rsid w:val="7BF57A40"/>
    <w:rsid w:val="7BF5BB40"/>
    <w:rsid w:val="7BF6392F"/>
    <w:rsid w:val="7BF74D27"/>
    <w:rsid w:val="7BFB9D23"/>
    <w:rsid w:val="7BFF4C74"/>
    <w:rsid w:val="7BFF65B8"/>
    <w:rsid w:val="7BFFB717"/>
    <w:rsid w:val="7BFFC32C"/>
    <w:rsid w:val="7C1C1465"/>
    <w:rsid w:val="7C3F98EA"/>
    <w:rsid w:val="7C460A98"/>
    <w:rsid w:val="7C5970F7"/>
    <w:rsid w:val="7C662EE9"/>
    <w:rsid w:val="7C6D071B"/>
    <w:rsid w:val="7C792C1C"/>
    <w:rsid w:val="7C799624"/>
    <w:rsid w:val="7C7B51B8"/>
    <w:rsid w:val="7C7D3129"/>
    <w:rsid w:val="7C7F505A"/>
    <w:rsid w:val="7C87041D"/>
    <w:rsid w:val="7C979280"/>
    <w:rsid w:val="7CAC1243"/>
    <w:rsid w:val="7CB1A0E6"/>
    <w:rsid w:val="7CBA9357"/>
    <w:rsid w:val="7CBADD99"/>
    <w:rsid w:val="7CC3658D"/>
    <w:rsid w:val="7CDB4660"/>
    <w:rsid w:val="7CDDAB4E"/>
    <w:rsid w:val="7CE85FF3"/>
    <w:rsid w:val="7CF130FA"/>
    <w:rsid w:val="7CF3AA18"/>
    <w:rsid w:val="7CF404F4"/>
    <w:rsid w:val="7CF7CCE2"/>
    <w:rsid w:val="7D0B5F8F"/>
    <w:rsid w:val="7D0B949B"/>
    <w:rsid w:val="7D1F1718"/>
    <w:rsid w:val="7D3704A9"/>
    <w:rsid w:val="7D4C9F05"/>
    <w:rsid w:val="7D4FC617"/>
    <w:rsid w:val="7D5BB584"/>
    <w:rsid w:val="7D6E1BE5"/>
    <w:rsid w:val="7D6EB464"/>
    <w:rsid w:val="7D769E30"/>
    <w:rsid w:val="7D76B67B"/>
    <w:rsid w:val="7D7AC75C"/>
    <w:rsid w:val="7D7D7F39"/>
    <w:rsid w:val="7D7E12D7"/>
    <w:rsid w:val="7D7F0CBB"/>
    <w:rsid w:val="7D7F34CC"/>
    <w:rsid w:val="7D9E2469"/>
    <w:rsid w:val="7DAF0D9F"/>
    <w:rsid w:val="7DAFFC2A"/>
    <w:rsid w:val="7DB19A32"/>
    <w:rsid w:val="7DB52379"/>
    <w:rsid w:val="7DB69BA7"/>
    <w:rsid w:val="7DB70D1A"/>
    <w:rsid w:val="7DB719B7"/>
    <w:rsid w:val="7DB7B146"/>
    <w:rsid w:val="7DBBC6BA"/>
    <w:rsid w:val="7DBD2FDC"/>
    <w:rsid w:val="7DBDD2FD"/>
    <w:rsid w:val="7DBF85D5"/>
    <w:rsid w:val="7DBFFB3C"/>
    <w:rsid w:val="7DC764A8"/>
    <w:rsid w:val="7DD425C4"/>
    <w:rsid w:val="7DD7C11B"/>
    <w:rsid w:val="7DDB4367"/>
    <w:rsid w:val="7DE642E1"/>
    <w:rsid w:val="7DE92023"/>
    <w:rsid w:val="7DEEBFD9"/>
    <w:rsid w:val="7DEFE0B2"/>
    <w:rsid w:val="7DF36B59"/>
    <w:rsid w:val="7DF5D40F"/>
    <w:rsid w:val="7DF67283"/>
    <w:rsid w:val="7DF6CB09"/>
    <w:rsid w:val="7DF75FAD"/>
    <w:rsid w:val="7DF7648B"/>
    <w:rsid w:val="7DF8F0E1"/>
    <w:rsid w:val="7DF9429C"/>
    <w:rsid w:val="7DF9C140"/>
    <w:rsid w:val="7DFA5EEA"/>
    <w:rsid w:val="7DFA65A5"/>
    <w:rsid w:val="7DFB1058"/>
    <w:rsid w:val="7DFBB54A"/>
    <w:rsid w:val="7DFC1AEF"/>
    <w:rsid w:val="7DFDC5B5"/>
    <w:rsid w:val="7DFE7D57"/>
    <w:rsid w:val="7DFF0079"/>
    <w:rsid w:val="7DFF3253"/>
    <w:rsid w:val="7DFF59CB"/>
    <w:rsid w:val="7DFFC6B4"/>
    <w:rsid w:val="7DFFDFCA"/>
    <w:rsid w:val="7DFFFF31"/>
    <w:rsid w:val="7E156974"/>
    <w:rsid w:val="7E3E236F"/>
    <w:rsid w:val="7E3FF469"/>
    <w:rsid w:val="7E65831B"/>
    <w:rsid w:val="7E6E37B1"/>
    <w:rsid w:val="7E6F077A"/>
    <w:rsid w:val="7E772BD3"/>
    <w:rsid w:val="7E77CF15"/>
    <w:rsid w:val="7E7CDB30"/>
    <w:rsid w:val="7E7F851F"/>
    <w:rsid w:val="7E7FBE9D"/>
    <w:rsid w:val="7E890DAD"/>
    <w:rsid w:val="7E891110"/>
    <w:rsid w:val="7E8C5DAC"/>
    <w:rsid w:val="7E9D3861"/>
    <w:rsid w:val="7E9EBF3D"/>
    <w:rsid w:val="7EA67F14"/>
    <w:rsid w:val="7EB29748"/>
    <w:rsid w:val="7EB7EA50"/>
    <w:rsid w:val="7EB9D9D8"/>
    <w:rsid w:val="7EBBD4A8"/>
    <w:rsid w:val="7EBF009F"/>
    <w:rsid w:val="7EBF1443"/>
    <w:rsid w:val="7EBF9E88"/>
    <w:rsid w:val="7EC6B9CC"/>
    <w:rsid w:val="7ECB7800"/>
    <w:rsid w:val="7ECF003F"/>
    <w:rsid w:val="7ECF693C"/>
    <w:rsid w:val="7ED1FC95"/>
    <w:rsid w:val="7ED6971E"/>
    <w:rsid w:val="7ED6FA89"/>
    <w:rsid w:val="7ED7D30D"/>
    <w:rsid w:val="7EDB778F"/>
    <w:rsid w:val="7EDE09D2"/>
    <w:rsid w:val="7EDFD117"/>
    <w:rsid w:val="7EE21C6D"/>
    <w:rsid w:val="7EE5ED3D"/>
    <w:rsid w:val="7EEBE1CC"/>
    <w:rsid w:val="7EEC7D54"/>
    <w:rsid w:val="7EECEB1F"/>
    <w:rsid w:val="7EEF484A"/>
    <w:rsid w:val="7EF331A0"/>
    <w:rsid w:val="7EF694F6"/>
    <w:rsid w:val="7EF7CEAD"/>
    <w:rsid w:val="7EF94BBD"/>
    <w:rsid w:val="7EF98E3D"/>
    <w:rsid w:val="7EFB3DBC"/>
    <w:rsid w:val="7EFC634F"/>
    <w:rsid w:val="7EFD4C7F"/>
    <w:rsid w:val="7EFDDFA3"/>
    <w:rsid w:val="7EFEDD2B"/>
    <w:rsid w:val="7EFF1485"/>
    <w:rsid w:val="7EFF2E09"/>
    <w:rsid w:val="7EFF3BD0"/>
    <w:rsid w:val="7EFF6BE9"/>
    <w:rsid w:val="7EFF7BC2"/>
    <w:rsid w:val="7EFF9FB4"/>
    <w:rsid w:val="7EFFA951"/>
    <w:rsid w:val="7EFFBD56"/>
    <w:rsid w:val="7EFFBE12"/>
    <w:rsid w:val="7F115065"/>
    <w:rsid w:val="7F17C620"/>
    <w:rsid w:val="7F211349"/>
    <w:rsid w:val="7F36A157"/>
    <w:rsid w:val="7F3B03C1"/>
    <w:rsid w:val="7F3DDE30"/>
    <w:rsid w:val="7F3F75DE"/>
    <w:rsid w:val="7F3FD7B7"/>
    <w:rsid w:val="7F3FDD4F"/>
    <w:rsid w:val="7F405C73"/>
    <w:rsid w:val="7F4A4FB6"/>
    <w:rsid w:val="7F5466B7"/>
    <w:rsid w:val="7F552027"/>
    <w:rsid w:val="7F55DC77"/>
    <w:rsid w:val="7F592013"/>
    <w:rsid w:val="7F5A30FD"/>
    <w:rsid w:val="7F5CB1CD"/>
    <w:rsid w:val="7F5D3FC7"/>
    <w:rsid w:val="7F60779B"/>
    <w:rsid w:val="7F636CC6"/>
    <w:rsid w:val="7F66F631"/>
    <w:rsid w:val="7F6765F2"/>
    <w:rsid w:val="7F6B1294"/>
    <w:rsid w:val="7F6B2A0E"/>
    <w:rsid w:val="7F6D458E"/>
    <w:rsid w:val="7F6D773C"/>
    <w:rsid w:val="7F735206"/>
    <w:rsid w:val="7F758FF1"/>
    <w:rsid w:val="7F767739"/>
    <w:rsid w:val="7F7745C7"/>
    <w:rsid w:val="7F7A7129"/>
    <w:rsid w:val="7F7B6B73"/>
    <w:rsid w:val="7F7DFEB6"/>
    <w:rsid w:val="7F7F188B"/>
    <w:rsid w:val="7F7FCEFC"/>
    <w:rsid w:val="7F83627E"/>
    <w:rsid w:val="7F866C89"/>
    <w:rsid w:val="7F934EBD"/>
    <w:rsid w:val="7F96D6D8"/>
    <w:rsid w:val="7F976CC7"/>
    <w:rsid w:val="7F99D9AE"/>
    <w:rsid w:val="7F9F0D33"/>
    <w:rsid w:val="7F9F6D8C"/>
    <w:rsid w:val="7F9FDD9C"/>
    <w:rsid w:val="7FA14932"/>
    <w:rsid w:val="7FA501CC"/>
    <w:rsid w:val="7FAA57E2"/>
    <w:rsid w:val="7FAE293F"/>
    <w:rsid w:val="7FAF6E83"/>
    <w:rsid w:val="7FB26420"/>
    <w:rsid w:val="7FB35DA5"/>
    <w:rsid w:val="7FB42D20"/>
    <w:rsid w:val="7FB76281"/>
    <w:rsid w:val="7FB7EB65"/>
    <w:rsid w:val="7FBA9044"/>
    <w:rsid w:val="7FBB097D"/>
    <w:rsid w:val="7FBB2C0D"/>
    <w:rsid w:val="7FBB79EF"/>
    <w:rsid w:val="7FBE1231"/>
    <w:rsid w:val="7FBF0901"/>
    <w:rsid w:val="7FBF257D"/>
    <w:rsid w:val="7FBF2B3B"/>
    <w:rsid w:val="7FBF5731"/>
    <w:rsid w:val="7FBF69A7"/>
    <w:rsid w:val="7FBF8835"/>
    <w:rsid w:val="7FBFFD05"/>
    <w:rsid w:val="7FC3974F"/>
    <w:rsid w:val="7FC74516"/>
    <w:rsid w:val="7FC758EA"/>
    <w:rsid w:val="7FC7D0F3"/>
    <w:rsid w:val="7FC7E263"/>
    <w:rsid w:val="7FCF1998"/>
    <w:rsid w:val="7FD7A446"/>
    <w:rsid w:val="7FD7CA6E"/>
    <w:rsid w:val="7FD7CFE7"/>
    <w:rsid w:val="7FDB8F59"/>
    <w:rsid w:val="7FDBD432"/>
    <w:rsid w:val="7FDD63F4"/>
    <w:rsid w:val="7FDD7F69"/>
    <w:rsid w:val="7FDD9EE6"/>
    <w:rsid w:val="7FDDA397"/>
    <w:rsid w:val="7FDE92A4"/>
    <w:rsid w:val="7FDF2584"/>
    <w:rsid w:val="7FDF419B"/>
    <w:rsid w:val="7FDF4396"/>
    <w:rsid w:val="7FDF626B"/>
    <w:rsid w:val="7FE51A52"/>
    <w:rsid w:val="7FE74C8A"/>
    <w:rsid w:val="7FE75985"/>
    <w:rsid w:val="7FE92AB4"/>
    <w:rsid w:val="7FEA3E31"/>
    <w:rsid w:val="7FEA8F79"/>
    <w:rsid w:val="7FEBAAB5"/>
    <w:rsid w:val="7FEBD886"/>
    <w:rsid w:val="7FECC2C9"/>
    <w:rsid w:val="7FEEEA83"/>
    <w:rsid w:val="7FEEF09E"/>
    <w:rsid w:val="7FEF2FB2"/>
    <w:rsid w:val="7FEF32D1"/>
    <w:rsid w:val="7FEF3404"/>
    <w:rsid w:val="7FEF70AC"/>
    <w:rsid w:val="7FEF80C6"/>
    <w:rsid w:val="7FF3CC1C"/>
    <w:rsid w:val="7FF5A1B4"/>
    <w:rsid w:val="7FF5E337"/>
    <w:rsid w:val="7FF627D5"/>
    <w:rsid w:val="7FF718AA"/>
    <w:rsid w:val="7FF74CC5"/>
    <w:rsid w:val="7FF7B3BB"/>
    <w:rsid w:val="7FFA0E5F"/>
    <w:rsid w:val="7FFA377A"/>
    <w:rsid w:val="7FFA44E5"/>
    <w:rsid w:val="7FFAB5A7"/>
    <w:rsid w:val="7FFB12A0"/>
    <w:rsid w:val="7FFB24ED"/>
    <w:rsid w:val="7FFB3DCF"/>
    <w:rsid w:val="7FFB74FF"/>
    <w:rsid w:val="7FFB8CE6"/>
    <w:rsid w:val="7FFBA6AE"/>
    <w:rsid w:val="7FFBADE4"/>
    <w:rsid w:val="7FFBC4CB"/>
    <w:rsid w:val="7FFCB5A7"/>
    <w:rsid w:val="7FFCCBC1"/>
    <w:rsid w:val="7FFD1E6D"/>
    <w:rsid w:val="7FFDD05F"/>
    <w:rsid w:val="7FFE0A7E"/>
    <w:rsid w:val="7FFE645E"/>
    <w:rsid w:val="7FFE9918"/>
    <w:rsid w:val="7FFEAE11"/>
    <w:rsid w:val="7FFF08BB"/>
    <w:rsid w:val="7FFF11A1"/>
    <w:rsid w:val="7FFF1383"/>
    <w:rsid w:val="7FFF2D4D"/>
    <w:rsid w:val="7FFF2D81"/>
    <w:rsid w:val="7FFF33CA"/>
    <w:rsid w:val="7FFF5176"/>
    <w:rsid w:val="7FFF547A"/>
    <w:rsid w:val="7FFF742C"/>
    <w:rsid w:val="7FFF8829"/>
    <w:rsid w:val="7FFFA2D2"/>
    <w:rsid w:val="7FFFB1F5"/>
    <w:rsid w:val="7FFFB6CD"/>
    <w:rsid w:val="7FFFC6ED"/>
    <w:rsid w:val="7FFFCBBE"/>
    <w:rsid w:val="7FFFD35C"/>
    <w:rsid w:val="7FFFE3FD"/>
    <w:rsid w:val="81FB40E9"/>
    <w:rsid w:val="834DF849"/>
    <w:rsid w:val="83FF76D9"/>
    <w:rsid w:val="853F3B04"/>
    <w:rsid w:val="8AFE46D2"/>
    <w:rsid w:val="8BEA00E8"/>
    <w:rsid w:val="8DBF7159"/>
    <w:rsid w:val="8DCA5EE1"/>
    <w:rsid w:val="8FAF681F"/>
    <w:rsid w:val="8FAF9316"/>
    <w:rsid w:val="8FBBA6C0"/>
    <w:rsid w:val="8FDD9616"/>
    <w:rsid w:val="8FDF0834"/>
    <w:rsid w:val="8FEE6A3F"/>
    <w:rsid w:val="8FF78023"/>
    <w:rsid w:val="8FF7E3D8"/>
    <w:rsid w:val="8FFFCE23"/>
    <w:rsid w:val="90B7B267"/>
    <w:rsid w:val="917F0969"/>
    <w:rsid w:val="92FA8497"/>
    <w:rsid w:val="93EFBAFE"/>
    <w:rsid w:val="942F5D88"/>
    <w:rsid w:val="94FF6388"/>
    <w:rsid w:val="95BDF698"/>
    <w:rsid w:val="95DFAE71"/>
    <w:rsid w:val="970D1754"/>
    <w:rsid w:val="97BFDAC4"/>
    <w:rsid w:val="97D76394"/>
    <w:rsid w:val="97DD5A51"/>
    <w:rsid w:val="97EAE086"/>
    <w:rsid w:val="97F215E8"/>
    <w:rsid w:val="97FFBBF0"/>
    <w:rsid w:val="99DF5485"/>
    <w:rsid w:val="9AFDA653"/>
    <w:rsid w:val="9B6CBD2C"/>
    <w:rsid w:val="9B9BAA68"/>
    <w:rsid w:val="9B9ECBCB"/>
    <w:rsid w:val="9B9F2762"/>
    <w:rsid w:val="9BC774BF"/>
    <w:rsid w:val="9BEC2EB3"/>
    <w:rsid w:val="9BED0B04"/>
    <w:rsid w:val="9BEF866E"/>
    <w:rsid w:val="9CAC7354"/>
    <w:rsid w:val="9D77EF06"/>
    <w:rsid w:val="9D9B9DCF"/>
    <w:rsid w:val="9DBF36CC"/>
    <w:rsid w:val="9DEF73C9"/>
    <w:rsid w:val="9DFBA2F1"/>
    <w:rsid w:val="9DFE2ED1"/>
    <w:rsid w:val="9E9F1287"/>
    <w:rsid w:val="9EB708B9"/>
    <w:rsid w:val="9EBCDE24"/>
    <w:rsid w:val="9EEB0BFF"/>
    <w:rsid w:val="9EFD58DB"/>
    <w:rsid w:val="9F4146DE"/>
    <w:rsid w:val="9F7D1953"/>
    <w:rsid w:val="9F8F6394"/>
    <w:rsid w:val="9F9DC911"/>
    <w:rsid w:val="9FAED044"/>
    <w:rsid w:val="9FB726CA"/>
    <w:rsid w:val="9FBE3D94"/>
    <w:rsid w:val="9FBF36F7"/>
    <w:rsid w:val="9FBF5862"/>
    <w:rsid w:val="9FBFB573"/>
    <w:rsid w:val="9FD784E8"/>
    <w:rsid w:val="9FDBBEB2"/>
    <w:rsid w:val="9FE7EDD6"/>
    <w:rsid w:val="9FEF0D9C"/>
    <w:rsid w:val="9FF4F4B1"/>
    <w:rsid w:val="9FF7863F"/>
    <w:rsid w:val="9FFD3D41"/>
    <w:rsid w:val="9FFE14C9"/>
    <w:rsid w:val="9FFF4F4E"/>
    <w:rsid w:val="9FFF6B9F"/>
    <w:rsid w:val="A0F58D62"/>
    <w:rsid w:val="A28C5716"/>
    <w:rsid w:val="A3A28E90"/>
    <w:rsid w:val="A3A7DBCD"/>
    <w:rsid w:val="A3BB8771"/>
    <w:rsid w:val="A3DF40D6"/>
    <w:rsid w:val="A4DE8711"/>
    <w:rsid w:val="A5FD84F3"/>
    <w:rsid w:val="A6DB2AB4"/>
    <w:rsid w:val="A76FEDFD"/>
    <w:rsid w:val="A7B74558"/>
    <w:rsid w:val="A7F36822"/>
    <w:rsid w:val="A7FF36FF"/>
    <w:rsid w:val="A7FFCFC9"/>
    <w:rsid w:val="A8F9B084"/>
    <w:rsid w:val="A9CDB5F9"/>
    <w:rsid w:val="AA7F38DE"/>
    <w:rsid w:val="AABF7C73"/>
    <w:rsid w:val="AADF82F8"/>
    <w:rsid w:val="AB5F1B2E"/>
    <w:rsid w:val="AB87DD15"/>
    <w:rsid w:val="ABE4A78B"/>
    <w:rsid w:val="ABEE5D69"/>
    <w:rsid w:val="ABF59A94"/>
    <w:rsid w:val="ABFDBFE6"/>
    <w:rsid w:val="ABFF5BDF"/>
    <w:rsid w:val="ABFFD9F6"/>
    <w:rsid w:val="AC7D7990"/>
    <w:rsid w:val="ACFFFE17"/>
    <w:rsid w:val="AD79820F"/>
    <w:rsid w:val="AD9D449D"/>
    <w:rsid w:val="AD9FC8E8"/>
    <w:rsid w:val="ADA13F7A"/>
    <w:rsid w:val="ADAD1966"/>
    <w:rsid w:val="ADB3BCA7"/>
    <w:rsid w:val="ADCA2961"/>
    <w:rsid w:val="ADDFA158"/>
    <w:rsid w:val="ADFDA53D"/>
    <w:rsid w:val="AEBEE07E"/>
    <w:rsid w:val="AEEE5BAC"/>
    <w:rsid w:val="AF1F6462"/>
    <w:rsid w:val="AF330BA1"/>
    <w:rsid w:val="AF38E8E3"/>
    <w:rsid w:val="AF77A6C4"/>
    <w:rsid w:val="AF7FE229"/>
    <w:rsid w:val="AF8F469F"/>
    <w:rsid w:val="AF9AEE43"/>
    <w:rsid w:val="AFDDB229"/>
    <w:rsid w:val="AFDFD88F"/>
    <w:rsid w:val="AFF60D1C"/>
    <w:rsid w:val="AFF7A754"/>
    <w:rsid w:val="AFFBD373"/>
    <w:rsid w:val="AFFDAAE1"/>
    <w:rsid w:val="AFFF26A7"/>
    <w:rsid w:val="AFFF273F"/>
    <w:rsid w:val="AFFF4516"/>
    <w:rsid w:val="AFFF7C70"/>
    <w:rsid w:val="AFFFAD75"/>
    <w:rsid w:val="AFFFDC94"/>
    <w:rsid w:val="B0BDE201"/>
    <w:rsid w:val="B0F73098"/>
    <w:rsid w:val="B1ED8D17"/>
    <w:rsid w:val="B2EF9959"/>
    <w:rsid w:val="B35718A0"/>
    <w:rsid w:val="B37FD0ED"/>
    <w:rsid w:val="B399ED7D"/>
    <w:rsid w:val="B3F99ED5"/>
    <w:rsid w:val="B3FE627B"/>
    <w:rsid w:val="B3FF10AB"/>
    <w:rsid w:val="B3FF4AB3"/>
    <w:rsid w:val="B44D9873"/>
    <w:rsid w:val="B54E34F5"/>
    <w:rsid w:val="B5F5CCA6"/>
    <w:rsid w:val="B5FF1DC9"/>
    <w:rsid w:val="B5FFB69E"/>
    <w:rsid w:val="B68FC780"/>
    <w:rsid w:val="B6BA7008"/>
    <w:rsid w:val="B6D6CEDB"/>
    <w:rsid w:val="B6D9D03E"/>
    <w:rsid w:val="B707C44D"/>
    <w:rsid w:val="B71BE528"/>
    <w:rsid w:val="B7782810"/>
    <w:rsid w:val="B7796BEC"/>
    <w:rsid w:val="B7B3D5B6"/>
    <w:rsid w:val="B7D7C5BB"/>
    <w:rsid w:val="B7E303C2"/>
    <w:rsid w:val="B7EF7E25"/>
    <w:rsid w:val="B7F40A12"/>
    <w:rsid w:val="B7FB59BD"/>
    <w:rsid w:val="B7FBE1C2"/>
    <w:rsid w:val="B7FDBE16"/>
    <w:rsid w:val="B7FEDD67"/>
    <w:rsid w:val="B8BF504B"/>
    <w:rsid w:val="B8F62ACE"/>
    <w:rsid w:val="B8FD11B1"/>
    <w:rsid w:val="B98DE6A6"/>
    <w:rsid w:val="B9F6C65F"/>
    <w:rsid w:val="BA2F232A"/>
    <w:rsid w:val="BADF8458"/>
    <w:rsid w:val="BAFAF561"/>
    <w:rsid w:val="BAFB6131"/>
    <w:rsid w:val="BAFD99E5"/>
    <w:rsid w:val="BB335513"/>
    <w:rsid w:val="BB36B862"/>
    <w:rsid w:val="BB69FF0D"/>
    <w:rsid w:val="BB9F25F0"/>
    <w:rsid w:val="BB9F2645"/>
    <w:rsid w:val="BB9FE837"/>
    <w:rsid w:val="BBB8D9AF"/>
    <w:rsid w:val="BBB96078"/>
    <w:rsid w:val="BBBDADED"/>
    <w:rsid w:val="BBDF15FB"/>
    <w:rsid w:val="BBEA8F38"/>
    <w:rsid w:val="BBED6C52"/>
    <w:rsid w:val="BBFB229A"/>
    <w:rsid w:val="BBFF8A35"/>
    <w:rsid w:val="BCDFB685"/>
    <w:rsid w:val="BCE48347"/>
    <w:rsid w:val="BCF5D90B"/>
    <w:rsid w:val="BD3D85C2"/>
    <w:rsid w:val="BD64ECEC"/>
    <w:rsid w:val="BD9F48D1"/>
    <w:rsid w:val="BDBABC04"/>
    <w:rsid w:val="BDBDFBD6"/>
    <w:rsid w:val="BDBF799A"/>
    <w:rsid w:val="BDD0737E"/>
    <w:rsid w:val="BDD53020"/>
    <w:rsid w:val="BDE34FC1"/>
    <w:rsid w:val="BDF746C7"/>
    <w:rsid w:val="BDF7B3BA"/>
    <w:rsid w:val="BDFB753F"/>
    <w:rsid w:val="BDFDD83D"/>
    <w:rsid w:val="BE2EA726"/>
    <w:rsid w:val="BE439BF1"/>
    <w:rsid w:val="BE5FFE79"/>
    <w:rsid w:val="BE68E9D1"/>
    <w:rsid w:val="BE6F689B"/>
    <w:rsid w:val="BE7E8E0B"/>
    <w:rsid w:val="BE924E78"/>
    <w:rsid w:val="BE9FBD6E"/>
    <w:rsid w:val="BEAA31C5"/>
    <w:rsid w:val="BEAFD9C3"/>
    <w:rsid w:val="BEBD5F9D"/>
    <w:rsid w:val="BEBD86D3"/>
    <w:rsid w:val="BEDF6D26"/>
    <w:rsid w:val="BEE47D4A"/>
    <w:rsid w:val="BEEF1AC5"/>
    <w:rsid w:val="BEEF9108"/>
    <w:rsid w:val="BEF7BD50"/>
    <w:rsid w:val="BEFCBA63"/>
    <w:rsid w:val="BEFDFF8D"/>
    <w:rsid w:val="BEFF543E"/>
    <w:rsid w:val="BEFFF402"/>
    <w:rsid w:val="BF2F49D2"/>
    <w:rsid w:val="BF39C23E"/>
    <w:rsid w:val="BF3F3DA7"/>
    <w:rsid w:val="BF4DEBA5"/>
    <w:rsid w:val="BF5AD2A2"/>
    <w:rsid w:val="BF7746D3"/>
    <w:rsid w:val="BF796E87"/>
    <w:rsid w:val="BF7E2B31"/>
    <w:rsid w:val="BF7F83A6"/>
    <w:rsid w:val="BF7FBCAB"/>
    <w:rsid w:val="BF7FC818"/>
    <w:rsid w:val="BF8D07A4"/>
    <w:rsid w:val="BF9BA85D"/>
    <w:rsid w:val="BFA700AE"/>
    <w:rsid w:val="BFA9B2FF"/>
    <w:rsid w:val="BFB6BEDD"/>
    <w:rsid w:val="BFBB3A93"/>
    <w:rsid w:val="BFBF69B0"/>
    <w:rsid w:val="BFCAA213"/>
    <w:rsid w:val="BFD29CB7"/>
    <w:rsid w:val="BFD7A2EC"/>
    <w:rsid w:val="BFDB009A"/>
    <w:rsid w:val="BFDBAAD9"/>
    <w:rsid w:val="BFDD1C20"/>
    <w:rsid w:val="BFDE6DCD"/>
    <w:rsid w:val="BFDF19D8"/>
    <w:rsid w:val="BFDF298F"/>
    <w:rsid w:val="BFDF2C2B"/>
    <w:rsid w:val="BFDF769E"/>
    <w:rsid w:val="BFDFAEDF"/>
    <w:rsid w:val="BFE38985"/>
    <w:rsid w:val="BFE5B797"/>
    <w:rsid w:val="BFE9B57F"/>
    <w:rsid w:val="BFEF75E3"/>
    <w:rsid w:val="BFF1142B"/>
    <w:rsid w:val="BFF32994"/>
    <w:rsid w:val="BFF39990"/>
    <w:rsid w:val="BFF56AD4"/>
    <w:rsid w:val="BFF62D14"/>
    <w:rsid w:val="BFF7BECB"/>
    <w:rsid w:val="BFF7E572"/>
    <w:rsid w:val="BFFAE331"/>
    <w:rsid w:val="BFFB8323"/>
    <w:rsid w:val="BFFB9BFD"/>
    <w:rsid w:val="BFFBEF38"/>
    <w:rsid w:val="BFFCC6AD"/>
    <w:rsid w:val="BFFCFDDD"/>
    <w:rsid w:val="BFFDB7B7"/>
    <w:rsid w:val="BFFDBDBC"/>
    <w:rsid w:val="BFFF05A9"/>
    <w:rsid w:val="BFFF13C7"/>
    <w:rsid w:val="BFFF882B"/>
    <w:rsid w:val="BFFF8C8E"/>
    <w:rsid w:val="BFFFAA0F"/>
    <w:rsid w:val="BFFFD0E5"/>
    <w:rsid w:val="C0E7C3A2"/>
    <w:rsid w:val="C4FDDB93"/>
    <w:rsid w:val="C57B8CA1"/>
    <w:rsid w:val="C5DF1221"/>
    <w:rsid w:val="C5DF4BC3"/>
    <w:rsid w:val="C5FF93E8"/>
    <w:rsid w:val="C6F37CC6"/>
    <w:rsid w:val="C6F38D49"/>
    <w:rsid w:val="C72FB46E"/>
    <w:rsid w:val="C77FD50B"/>
    <w:rsid w:val="C7F390CA"/>
    <w:rsid w:val="C7FC7556"/>
    <w:rsid w:val="C8F76DA2"/>
    <w:rsid w:val="C9FE997C"/>
    <w:rsid w:val="CA57185A"/>
    <w:rsid w:val="CAFE7397"/>
    <w:rsid w:val="CB6F2649"/>
    <w:rsid w:val="CB7F9F16"/>
    <w:rsid w:val="CBBF51CA"/>
    <w:rsid w:val="CBD7E377"/>
    <w:rsid w:val="CBDF59F4"/>
    <w:rsid w:val="CBECE490"/>
    <w:rsid w:val="CBF3B067"/>
    <w:rsid w:val="CBF712C9"/>
    <w:rsid w:val="CBFAFEBA"/>
    <w:rsid w:val="CBFE674B"/>
    <w:rsid w:val="CC2AFBDA"/>
    <w:rsid w:val="CD7FA633"/>
    <w:rsid w:val="CDB6374D"/>
    <w:rsid w:val="CDB7571C"/>
    <w:rsid w:val="CDDE4E48"/>
    <w:rsid w:val="CDEC9FF1"/>
    <w:rsid w:val="CEB5B9BA"/>
    <w:rsid w:val="CEF70538"/>
    <w:rsid w:val="CEF7318A"/>
    <w:rsid w:val="CEFD47BD"/>
    <w:rsid w:val="CF0FDCF6"/>
    <w:rsid w:val="CF5E5769"/>
    <w:rsid w:val="CF77FC72"/>
    <w:rsid w:val="CF7D7D45"/>
    <w:rsid w:val="CF7F6DF0"/>
    <w:rsid w:val="CFADAE3A"/>
    <w:rsid w:val="CFAFD86B"/>
    <w:rsid w:val="CFBF23E9"/>
    <w:rsid w:val="CFBF3D98"/>
    <w:rsid w:val="CFBFA82B"/>
    <w:rsid w:val="CFCDAB2A"/>
    <w:rsid w:val="CFD0B1F3"/>
    <w:rsid w:val="CFD9922D"/>
    <w:rsid w:val="CFDCED8F"/>
    <w:rsid w:val="CFFB12DA"/>
    <w:rsid w:val="CFFC8260"/>
    <w:rsid w:val="CFFE57FD"/>
    <w:rsid w:val="CFFF01E0"/>
    <w:rsid w:val="D17FCCA5"/>
    <w:rsid w:val="D18B4B07"/>
    <w:rsid w:val="D1EF1A45"/>
    <w:rsid w:val="D3AE7B06"/>
    <w:rsid w:val="D3BB0AE7"/>
    <w:rsid w:val="D3EF9329"/>
    <w:rsid w:val="D3FE264E"/>
    <w:rsid w:val="D474336F"/>
    <w:rsid w:val="D47B9965"/>
    <w:rsid w:val="D47D17E5"/>
    <w:rsid w:val="D497CFA6"/>
    <w:rsid w:val="D4DF8F02"/>
    <w:rsid w:val="D4FA1D07"/>
    <w:rsid w:val="D4FE1862"/>
    <w:rsid w:val="D5F72887"/>
    <w:rsid w:val="D67F2626"/>
    <w:rsid w:val="D6B78D52"/>
    <w:rsid w:val="D6FC2F33"/>
    <w:rsid w:val="D775ABA0"/>
    <w:rsid w:val="D77FBE6C"/>
    <w:rsid w:val="D797F55D"/>
    <w:rsid w:val="D79DCCA5"/>
    <w:rsid w:val="D79E0E28"/>
    <w:rsid w:val="D79FF135"/>
    <w:rsid w:val="D7B7964D"/>
    <w:rsid w:val="D7BF8AA3"/>
    <w:rsid w:val="D7D17147"/>
    <w:rsid w:val="D7DD2B23"/>
    <w:rsid w:val="D7DE29E2"/>
    <w:rsid w:val="D7DFB6E5"/>
    <w:rsid w:val="D7EBE5EA"/>
    <w:rsid w:val="D7EC115D"/>
    <w:rsid w:val="D7FDB484"/>
    <w:rsid w:val="D7FE4A34"/>
    <w:rsid w:val="D7FE5BDC"/>
    <w:rsid w:val="D7FFA67A"/>
    <w:rsid w:val="D7FFEA78"/>
    <w:rsid w:val="D86D57A0"/>
    <w:rsid w:val="D8FDD356"/>
    <w:rsid w:val="D9655E15"/>
    <w:rsid w:val="D9BFC29D"/>
    <w:rsid w:val="D9DE279E"/>
    <w:rsid w:val="D9FB1072"/>
    <w:rsid w:val="DA6A8C85"/>
    <w:rsid w:val="DA795DB8"/>
    <w:rsid w:val="DAB52B41"/>
    <w:rsid w:val="DAF70AD3"/>
    <w:rsid w:val="DAF74C9A"/>
    <w:rsid w:val="DAFFE5CB"/>
    <w:rsid w:val="DB2D5377"/>
    <w:rsid w:val="DB3DD600"/>
    <w:rsid w:val="DB3FF0CF"/>
    <w:rsid w:val="DB5FA3F7"/>
    <w:rsid w:val="DB7F788E"/>
    <w:rsid w:val="DB99E915"/>
    <w:rsid w:val="DB9EC8FB"/>
    <w:rsid w:val="DBB67427"/>
    <w:rsid w:val="DBBF1141"/>
    <w:rsid w:val="DBD3A81E"/>
    <w:rsid w:val="DBDB818A"/>
    <w:rsid w:val="DBDC6764"/>
    <w:rsid w:val="DBDD53A5"/>
    <w:rsid w:val="DBDFDE59"/>
    <w:rsid w:val="DBEB0DFB"/>
    <w:rsid w:val="DBEEFDA1"/>
    <w:rsid w:val="DBEFD544"/>
    <w:rsid w:val="DBFF7C8B"/>
    <w:rsid w:val="DBFFA004"/>
    <w:rsid w:val="DC59AE8C"/>
    <w:rsid w:val="DCBA3872"/>
    <w:rsid w:val="DCBF3419"/>
    <w:rsid w:val="DCDE2031"/>
    <w:rsid w:val="DCEE4D40"/>
    <w:rsid w:val="DCF43D65"/>
    <w:rsid w:val="DCF5BE87"/>
    <w:rsid w:val="DD7C4729"/>
    <w:rsid w:val="DDB55B15"/>
    <w:rsid w:val="DDB71EE1"/>
    <w:rsid w:val="DDBE9935"/>
    <w:rsid w:val="DDBFD248"/>
    <w:rsid w:val="DDCE19EA"/>
    <w:rsid w:val="DDDD4406"/>
    <w:rsid w:val="DDE8FFA8"/>
    <w:rsid w:val="DDEF4F14"/>
    <w:rsid w:val="DDEFB390"/>
    <w:rsid w:val="DDF5CBCB"/>
    <w:rsid w:val="DDFD3C77"/>
    <w:rsid w:val="DDFD5562"/>
    <w:rsid w:val="DDFE3D8C"/>
    <w:rsid w:val="DDFFBA10"/>
    <w:rsid w:val="DE3932A8"/>
    <w:rsid w:val="DE5CB75B"/>
    <w:rsid w:val="DE7BE779"/>
    <w:rsid w:val="DE7F7B24"/>
    <w:rsid w:val="DE9E5091"/>
    <w:rsid w:val="DE9FAA22"/>
    <w:rsid w:val="DEBAE2D8"/>
    <w:rsid w:val="DECF0AFA"/>
    <w:rsid w:val="DEDE4C6C"/>
    <w:rsid w:val="DEDFD979"/>
    <w:rsid w:val="DEDFF8B7"/>
    <w:rsid w:val="DEE714B5"/>
    <w:rsid w:val="DEEBC53A"/>
    <w:rsid w:val="DEEE36FA"/>
    <w:rsid w:val="DEF3B4FF"/>
    <w:rsid w:val="DEF7AD0F"/>
    <w:rsid w:val="DEF8C3A2"/>
    <w:rsid w:val="DEFB6604"/>
    <w:rsid w:val="DEFF1B1C"/>
    <w:rsid w:val="DEFF554E"/>
    <w:rsid w:val="DEFF9723"/>
    <w:rsid w:val="DF35D2CA"/>
    <w:rsid w:val="DF37F8D3"/>
    <w:rsid w:val="DF3D12D7"/>
    <w:rsid w:val="DF4BC28D"/>
    <w:rsid w:val="DF5ECA6B"/>
    <w:rsid w:val="DF6748FB"/>
    <w:rsid w:val="DF6AFF05"/>
    <w:rsid w:val="DF6DA995"/>
    <w:rsid w:val="DF72C2F5"/>
    <w:rsid w:val="DF7E3836"/>
    <w:rsid w:val="DF9B199E"/>
    <w:rsid w:val="DFB5A00D"/>
    <w:rsid w:val="DFB7E874"/>
    <w:rsid w:val="DFBC4864"/>
    <w:rsid w:val="DFBFA1F7"/>
    <w:rsid w:val="DFCDDC95"/>
    <w:rsid w:val="DFDBDBC1"/>
    <w:rsid w:val="DFE64791"/>
    <w:rsid w:val="DFE90231"/>
    <w:rsid w:val="DFEAEA33"/>
    <w:rsid w:val="DFEFDF9D"/>
    <w:rsid w:val="DFF1EA81"/>
    <w:rsid w:val="DFF5E4E5"/>
    <w:rsid w:val="DFF7203A"/>
    <w:rsid w:val="DFF865EC"/>
    <w:rsid w:val="DFF9C250"/>
    <w:rsid w:val="DFFA60E2"/>
    <w:rsid w:val="DFFB3DFD"/>
    <w:rsid w:val="DFFB6531"/>
    <w:rsid w:val="DFFB83F7"/>
    <w:rsid w:val="DFFE65AB"/>
    <w:rsid w:val="DFFEFF57"/>
    <w:rsid w:val="DFFF1765"/>
    <w:rsid w:val="DFFFC922"/>
    <w:rsid w:val="E0CFF852"/>
    <w:rsid w:val="E29653C8"/>
    <w:rsid w:val="E2FFBA5E"/>
    <w:rsid w:val="E35F85E6"/>
    <w:rsid w:val="E37A7D97"/>
    <w:rsid w:val="E3BE33EA"/>
    <w:rsid w:val="E3EF5663"/>
    <w:rsid w:val="E3FF34A6"/>
    <w:rsid w:val="E46C64C7"/>
    <w:rsid w:val="E4D77F22"/>
    <w:rsid w:val="E4EF8D9F"/>
    <w:rsid w:val="E5BD4615"/>
    <w:rsid w:val="E5E78F53"/>
    <w:rsid w:val="E5FCDB2C"/>
    <w:rsid w:val="E63CFBF6"/>
    <w:rsid w:val="E6A5EB13"/>
    <w:rsid w:val="E6BF138D"/>
    <w:rsid w:val="E6BF9369"/>
    <w:rsid w:val="E6CF0C39"/>
    <w:rsid w:val="E6ECD50C"/>
    <w:rsid w:val="E6F7E4A7"/>
    <w:rsid w:val="E6FF3A25"/>
    <w:rsid w:val="E737ED36"/>
    <w:rsid w:val="E7571E14"/>
    <w:rsid w:val="E75F9BFC"/>
    <w:rsid w:val="E7771745"/>
    <w:rsid w:val="E7775738"/>
    <w:rsid w:val="E7AB3F0D"/>
    <w:rsid w:val="E7B66D58"/>
    <w:rsid w:val="E7BBB792"/>
    <w:rsid w:val="E7EB1B57"/>
    <w:rsid w:val="E7F702DF"/>
    <w:rsid w:val="E7FA4BA7"/>
    <w:rsid w:val="E7FB580C"/>
    <w:rsid w:val="E7FB652B"/>
    <w:rsid w:val="E7FE679E"/>
    <w:rsid w:val="E7FF5FE1"/>
    <w:rsid w:val="E81FE649"/>
    <w:rsid w:val="E87FEA4B"/>
    <w:rsid w:val="E8B72E29"/>
    <w:rsid w:val="E8BE8CE3"/>
    <w:rsid w:val="E8FF2C13"/>
    <w:rsid w:val="E92BB238"/>
    <w:rsid w:val="E9BBF5F4"/>
    <w:rsid w:val="E9D86309"/>
    <w:rsid w:val="E9FE6E04"/>
    <w:rsid w:val="EAD38B87"/>
    <w:rsid w:val="EAE831A2"/>
    <w:rsid w:val="EAEE9A44"/>
    <w:rsid w:val="EB96E143"/>
    <w:rsid w:val="EBBD5D7D"/>
    <w:rsid w:val="EBBDF47A"/>
    <w:rsid w:val="EBBE4185"/>
    <w:rsid w:val="EBCF53F7"/>
    <w:rsid w:val="EBD5EA20"/>
    <w:rsid w:val="EBDBED37"/>
    <w:rsid w:val="EBDE07B0"/>
    <w:rsid w:val="EBDF8CBC"/>
    <w:rsid w:val="EBEBC295"/>
    <w:rsid w:val="EBFF66F5"/>
    <w:rsid w:val="EBFFC8AD"/>
    <w:rsid w:val="EC3D9CA2"/>
    <w:rsid w:val="EC57B726"/>
    <w:rsid w:val="ECB6E91A"/>
    <w:rsid w:val="ECCFD48F"/>
    <w:rsid w:val="ECE38346"/>
    <w:rsid w:val="ECFF3A61"/>
    <w:rsid w:val="ECFF694A"/>
    <w:rsid w:val="ED6DB77D"/>
    <w:rsid w:val="ED7B887E"/>
    <w:rsid w:val="EDA7AFA5"/>
    <w:rsid w:val="EDAF7DC4"/>
    <w:rsid w:val="EDBBAB03"/>
    <w:rsid w:val="EDD7F96B"/>
    <w:rsid w:val="EDDF0279"/>
    <w:rsid w:val="EDDF103B"/>
    <w:rsid w:val="EDFB13F3"/>
    <w:rsid w:val="EDFB7127"/>
    <w:rsid w:val="EDFF1164"/>
    <w:rsid w:val="EDFF50A2"/>
    <w:rsid w:val="EDFF7A91"/>
    <w:rsid w:val="EE3FE664"/>
    <w:rsid w:val="EE7C3BFB"/>
    <w:rsid w:val="EE8EA581"/>
    <w:rsid w:val="EEB75718"/>
    <w:rsid w:val="EEB7F2FA"/>
    <w:rsid w:val="EED6A9FE"/>
    <w:rsid w:val="EED772B8"/>
    <w:rsid w:val="EEDA8483"/>
    <w:rsid w:val="EEDE62FC"/>
    <w:rsid w:val="EEDF65CE"/>
    <w:rsid w:val="EEEC686C"/>
    <w:rsid w:val="EEEC9658"/>
    <w:rsid w:val="EEF55200"/>
    <w:rsid w:val="EEF7030F"/>
    <w:rsid w:val="EEFB1419"/>
    <w:rsid w:val="EEFD224B"/>
    <w:rsid w:val="EEFD61B8"/>
    <w:rsid w:val="EEFFB98C"/>
    <w:rsid w:val="EEFFD483"/>
    <w:rsid w:val="EF15B2F4"/>
    <w:rsid w:val="EF37F078"/>
    <w:rsid w:val="EF3E1FAC"/>
    <w:rsid w:val="EF4F1057"/>
    <w:rsid w:val="EF4F3E00"/>
    <w:rsid w:val="EF5A3156"/>
    <w:rsid w:val="EF5B0FB7"/>
    <w:rsid w:val="EF5E636F"/>
    <w:rsid w:val="EF5FAB66"/>
    <w:rsid w:val="EF6CBFB0"/>
    <w:rsid w:val="EF6DD55F"/>
    <w:rsid w:val="EF6FA3F4"/>
    <w:rsid w:val="EF770E31"/>
    <w:rsid w:val="EF796C00"/>
    <w:rsid w:val="EF7B3D16"/>
    <w:rsid w:val="EF7BE993"/>
    <w:rsid w:val="EF7ECD84"/>
    <w:rsid w:val="EF7F200B"/>
    <w:rsid w:val="EF9E39FC"/>
    <w:rsid w:val="EF9FCA9B"/>
    <w:rsid w:val="EFA736EB"/>
    <w:rsid w:val="EFBBEF98"/>
    <w:rsid w:val="EFBC8130"/>
    <w:rsid w:val="EFBD1120"/>
    <w:rsid w:val="EFBF8893"/>
    <w:rsid w:val="EFDDCB81"/>
    <w:rsid w:val="EFEDFF6C"/>
    <w:rsid w:val="EFEFA196"/>
    <w:rsid w:val="EFEFF10A"/>
    <w:rsid w:val="EFF6FAED"/>
    <w:rsid w:val="EFF7CEB5"/>
    <w:rsid w:val="EFFAADFC"/>
    <w:rsid w:val="EFFBFF85"/>
    <w:rsid w:val="EFFC41C9"/>
    <w:rsid w:val="EFFD26CB"/>
    <w:rsid w:val="EFFD2B2D"/>
    <w:rsid w:val="EFFF2FD3"/>
    <w:rsid w:val="EFFF33EF"/>
    <w:rsid w:val="EFFF8A57"/>
    <w:rsid w:val="EFFF964D"/>
    <w:rsid w:val="EFFF9A49"/>
    <w:rsid w:val="EFFFA9CB"/>
    <w:rsid w:val="EFFFD46B"/>
    <w:rsid w:val="EFFFF5F8"/>
    <w:rsid w:val="F07BA3AD"/>
    <w:rsid w:val="F0BB4C89"/>
    <w:rsid w:val="F15FB06F"/>
    <w:rsid w:val="F1A7784D"/>
    <w:rsid w:val="F1BFD374"/>
    <w:rsid w:val="F1DF98E7"/>
    <w:rsid w:val="F1EE2AB0"/>
    <w:rsid w:val="F1F18A45"/>
    <w:rsid w:val="F25E98E9"/>
    <w:rsid w:val="F2B5231E"/>
    <w:rsid w:val="F2B7BDCF"/>
    <w:rsid w:val="F2DB3511"/>
    <w:rsid w:val="F2E7B1F3"/>
    <w:rsid w:val="F2ED9DB4"/>
    <w:rsid w:val="F2FB6807"/>
    <w:rsid w:val="F367AF1C"/>
    <w:rsid w:val="F3692C1A"/>
    <w:rsid w:val="F36F0BA2"/>
    <w:rsid w:val="F374923F"/>
    <w:rsid w:val="F3AD6C3B"/>
    <w:rsid w:val="F3BEC09E"/>
    <w:rsid w:val="F3D8D5CC"/>
    <w:rsid w:val="F3EE8504"/>
    <w:rsid w:val="F3F19D02"/>
    <w:rsid w:val="F3F2EB8E"/>
    <w:rsid w:val="F3F422B6"/>
    <w:rsid w:val="F3F6600F"/>
    <w:rsid w:val="F3F78BA8"/>
    <w:rsid w:val="F3FA24D4"/>
    <w:rsid w:val="F3FB5CBA"/>
    <w:rsid w:val="F3FC43FA"/>
    <w:rsid w:val="F3FD9AD2"/>
    <w:rsid w:val="F45D486C"/>
    <w:rsid w:val="F46E94BB"/>
    <w:rsid w:val="F479FDE5"/>
    <w:rsid w:val="F47F0276"/>
    <w:rsid w:val="F493BB13"/>
    <w:rsid w:val="F4E78BC0"/>
    <w:rsid w:val="F4EA8193"/>
    <w:rsid w:val="F4F5DEAA"/>
    <w:rsid w:val="F4FE086B"/>
    <w:rsid w:val="F4FF61FA"/>
    <w:rsid w:val="F4FFF034"/>
    <w:rsid w:val="F4FFFAEB"/>
    <w:rsid w:val="F56D3AA0"/>
    <w:rsid w:val="F56F82B4"/>
    <w:rsid w:val="F57645C5"/>
    <w:rsid w:val="F58DC3E3"/>
    <w:rsid w:val="F58E75C7"/>
    <w:rsid w:val="F59F5AB3"/>
    <w:rsid w:val="F5BA5C39"/>
    <w:rsid w:val="F5BB72C1"/>
    <w:rsid w:val="F5BD294A"/>
    <w:rsid w:val="F5E61B8C"/>
    <w:rsid w:val="F5F731A6"/>
    <w:rsid w:val="F5F9E4DF"/>
    <w:rsid w:val="F5FD7D3E"/>
    <w:rsid w:val="F5FE1274"/>
    <w:rsid w:val="F6274DF4"/>
    <w:rsid w:val="F63FCA13"/>
    <w:rsid w:val="F66BA92C"/>
    <w:rsid w:val="F67A0969"/>
    <w:rsid w:val="F67BA473"/>
    <w:rsid w:val="F67E65F8"/>
    <w:rsid w:val="F67F2F93"/>
    <w:rsid w:val="F6D125F4"/>
    <w:rsid w:val="F6E3757E"/>
    <w:rsid w:val="F6EE3672"/>
    <w:rsid w:val="F6F73FB2"/>
    <w:rsid w:val="F6F78305"/>
    <w:rsid w:val="F6F793CD"/>
    <w:rsid w:val="F6FA6EDA"/>
    <w:rsid w:val="F6FB246B"/>
    <w:rsid w:val="F6FF7361"/>
    <w:rsid w:val="F6FF9D50"/>
    <w:rsid w:val="F73DEB6A"/>
    <w:rsid w:val="F75EEABE"/>
    <w:rsid w:val="F76C48F9"/>
    <w:rsid w:val="F76EE326"/>
    <w:rsid w:val="F773238A"/>
    <w:rsid w:val="F77B1F20"/>
    <w:rsid w:val="F77BDE7A"/>
    <w:rsid w:val="F77D7284"/>
    <w:rsid w:val="F77E8398"/>
    <w:rsid w:val="F77F8CDF"/>
    <w:rsid w:val="F78F29A0"/>
    <w:rsid w:val="F799E040"/>
    <w:rsid w:val="F79E1029"/>
    <w:rsid w:val="F79FDA16"/>
    <w:rsid w:val="F7BBE724"/>
    <w:rsid w:val="F7BFDDD5"/>
    <w:rsid w:val="F7BFFE4B"/>
    <w:rsid w:val="F7C7930B"/>
    <w:rsid w:val="F7CEDB59"/>
    <w:rsid w:val="F7DF85E2"/>
    <w:rsid w:val="F7DF8E81"/>
    <w:rsid w:val="F7DFFD26"/>
    <w:rsid w:val="F7E4788B"/>
    <w:rsid w:val="F7E75A22"/>
    <w:rsid w:val="F7EEBCB8"/>
    <w:rsid w:val="F7EF741E"/>
    <w:rsid w:val="F7EFAA6B"/>
    <w:rsid w:val="F7F19F2E"/>
    <w:rsid w:val="F7F31409"/>
    <w:rsid w:val="F7F3A4C1"/>
    <w:rsid w:val="F7F4BF43"/>
    <w:rsid w:val="F7F78BF6"/>
    <w:rsid w:val="F7F7BC97"/>
    <w:rsid w:val="F7F93373"/>
    <w:rsid w:val="F7FA5345"/>
    <w:rsid w:val="F7FB8748"/>
    <w:rsid w:val="F7FEE3C6"/>
    <w:rsid w:val="F7FF4C18"/>
    <w:rsid w:val="F7FF58C4"/>
    <w:rsid w:val="F7FF62B6"/>
    <w:rsid w:val="F7FF687F"/>
    <w:rsid w:val="F7FF9CE2"/>
    <w:rsid w:val="F7FFAEB3"/>
    <w:rsid w:val="F7FFD81F"/>
    <w:rsid w:val="F7FFD9B4"/>
    <w:rsid w:val="F87F68EB"/>
    <w:rsid w:val="F8DB0CC1"/>
    <w:rsid w:val="F8EDBEA3"/>
    <w:rsid w:val="F8F78334"/>
    <w:rsid w:val="F8FF52AD"/>
    <w:rsid w:val="F8FFBD1D"/>
    <w:rsid w:val="F91E789D"/>
    <w:rsid w:val="F9797063"/>
    <w:rsid w:val="F99D7460"/>
    <w:rsid w:val="F99E9DE9"/>
    <w:rsid w:val="F9BC3CEA"/>
    <w:rsid w:val="F9BF2CED"/>
    <w:rsid w:val="F9D77B56"/>
    <w:rsid w:val="F9E2DAB1"/>
    <w:rsid w:val="F9E78DBA"/>
    <w:rsid w:val="F9EE9400"/>
    <w:rsid w:val="F9F63722"/>
    <w:rsid w:val="F9F71CB8"/>
    <w:rsid w:val="F9F7E81D"/>
    <w:rsid w:val="F9FB15F9"/>
    <w:rsid w:val="F9FDD816"/>
    <w:rsid w:val="FA5FBDD4"/>
    <w:rsid w:val="FAB79FA2"/>
    <w:rsid w:val="FAB942E3"/>
    <w:rsid w:val="FABBCBF5"/>
    <w:rsid w:val="FADFC771"/>
    <w:rsid w:val="FAEF76A6"/>
    <w:rsid w:val="FAEFBB7D"/>
    <w:rsid w:val="FAEFFEBA"/>
    <w:rsid w:val="FAFB282A"/>
    <w:rsid w:val="FAFB82E3"/>
    <w:rsid w:val="FAFE95BC"/>
    <w:rsid w:val="FAFF382B"/>
    <w:rsid w:val="FAFF7A26"/>
    <w:rsid w:val="FAFFD8C2"/>
    <w:rsid w:val="FAFFE029"/>
    <w:rsid w:val="FB3EE1DB"/>
    <w:rsid w:val="FB4A9105"/>
    <w:rsid w:val="FB54131F"/>
    <w:rsid w:val="FB5F752D"/>
    <w:rsid w:val="FB62D2B2"/>
    <w:rsid w:val="FB6EF977"/>
    <w:rsid w:val="FB6F3C26"/>
    <w:rsid w:val="FB763FCA"/>
    <w:rsid w:val="FB77621F"/>
    <w:rsid w:val="FB7E2C84"/>
    <w:rsid w:val="FB7FA3C7"/>
    <w:rsid w:val="FB7FCBF2"/>
    <w:rsid w:val="FB7FE403"/>
    <w:rsid w:val="FB8F62DC"/>
    <w:rsid w:val="FB8FEE40"/>
    <w:rsid w:val="FB9F83A9"/>
    <w:rsid w:val="FBA23A6D"/>
    <w:rsid w:val="FBB610F3"/>
    <w:rsid w:val="FBB6D674"/>
    <w:rsid w:val="FBB7BBC2"/>
    <w:rsid w:val="FBB884B2"/>
    <w:rsid w:val="FBBE5C9A"/>
    <w:rsid w:val="FBBEC6D5"/>
    <w:rsid w:val="FBBFD999"/>
    <w:rsid w:val="FBCC6C27"/>
    <w:rsid w:val="FBCDC99B"/>
    <w:rsid w:val="FBD359E1"/>
    <w:rsid w:val="FBD79D84"/>
    <w:rsid w:val="FBDD866F"/>
    <w:rsid w:val="FBDF8EA4"/>
    <w:rsid w:val="FBE624AF"/>
    <w:rsid w:val="FBED4421"/>
    <w:rsid w:val="FBEFC145"/>
    <w:rsid w:val="FBEFFBD5"/>
    <w:rsid w:val="FBF16DB1"/>
    <w:rsid w:val="FBF21D10"/>
    <w:rsid w:val="FBF26185"/>
    <w:rsid w:val="FBF4F210"/>
    <w:rsid w:val="FBF79F38"/>
    <w:rsid w:val="FBF98252"/>
    <w:rsid w:val="FBF9F0CE"/>
    <w:rsid w:val="FBFB7133"/>
    <w:rsid w:val="FBFBC8D7"/>
    <w:rsid w:val="FBFC7179"/>
    <w:rsid w:val="FBFCEE63"/>
    <w:rsid w:val="FBFD2C78"/>
    <w:rsid w:val="FBFD73E2"/>
    <w:rsid w:val="FBFDBC70"/>
    <w:rsid w:val="FBFEAB91"/>
    <w:rsid w:val="FBFECCD5"/>
    <w:rsid w:val="FBFEE55B"/>
    <w:rsid w:val="FBFF354E"/>
    <w:rsid w:val="FBFF6014"/>
    <w:rsid w:val="FBFF655D"/>
    <w:rsid w:val="FC51E0B5"/>
    <w:rsid w:val="FC5E71DD"/>
    <w:rsid w:val="FC7FF1A1"/>
    <w:rsid w:val="FC96E8E8"/>
    <w:rsid w:val="FC9EFB00"/>
    <w:rsid w:val="FC9F9981"/>
    <w:rsid w:val="FCAEC037"/>
    <w:rsid w:val="FCBA8E01"/>
    <w:rsid w:val="FCDF2CC7"/>
    <w:rsid w:val="FCDFA6A2"/>
    <w:rsid w:val="FCEB973C"/>
    <w:rsid w:val="FCFF2718"/>
    <w:rsid w:val="FCFF6F8E"/>
    <w:rsid w:val="FCFF8384"/>
    <w:rsid w:val="FD322B7E"/>
    <w:rsid w:val="FD35897B"/>
    <w:rsid w:val="FD3740E6"/>
    <w:rsid w:val="FD3D3C38"/>
    <w:rsid w:val="FD3F1CE6"/>
    <w:rsid w:val="FD3F5D49"/>
    <w:rsid w:val="FD651E40"/>
    <w:rsid w:val="FD673F40"/>
    <w:rsid w:val="FD6E3DAE"/>
    <w:rsid w:val="FD746BCF"/>
    <w:rsid w:val="FD770722"/>
    <w:rsid w:val="FD79C4B0"/>
    <w:rsid w:val="FD7AF7BD"/>
    <w:rsid w:val="FD7FB2D1"/>
    <w:rsid w:val="FD9FDE82"/>
    <w:rsid w:val="FDA965A7"/>
    <w:rsid w:val="FDAB2442"/>
    <w:rsid w:val="FDAECD69"/>
    <w:rsid w:val="FDAF01B4"/>
    <w:rsid w:val="FDAFB12B"/>
    <w:rsid w:val="FDB39CD1"/>
    <w:rsid w:val="FDB69582"/>
    <w:rsid w:val="FDB78E78"/>
    <w:rsid w:val="FDB7B20F"/>
    <w:rsid w:val="FDBB2BDA"/>
    <w:rsid w:val="FDBC07EB"/>
    <w:rsid w:val="FDBFBD88"/>
    <w:rsid w:val="FDC2ED76"/>
    <w:rsid w:val="FDCD034A"/>
    <w:rsid w:val="FDCD9048"/>
    <w:rsid w:val="FDD9FB62"/>
    <w:rsid w:val="FDDE3D4C"/>
    <w:rsid w:val="FDDEF70F"/>
    <w:rsid w:val="FDDFCFA8"/>
    <w:rsid w:val="FDE76734"/>
    <w:rsid w:val="FDE908EC"/>
    <w:rsid w:val="FDEA2CD3"/>
    <w:rsid w:val="FDEEE717"/>
    <w:rsid w:val="FDEF81D1"/>
    <w:rsid w:val="FDF127A4"/>
    <w:rsid w:val="FDF30767"/>
    <w:rsid w:val="FDF31F5D"/>
    <w:rsid w:val="FDF726F5"/>
    <w:rsid w:val="FDF97882"/>
    <w:rsid w:val="FDF987E8"/>
    <w:rsid w:val="FDFA0D6C"/>
    <w:rsid w:val="FDFBE891"/>
    <w:rsid w:val="FDFD00A6"/>
    <w:rsid w:val="FDFDE4AD"/>
    <w:rsid w:val="FDFE9EDD"/>
    <w:rsid w:val="FDFF698D"/>
    <w:rsid w:val="FDFFE56B"/>
    <w:rsid w:val="FDFFED7D"/>
    <w:rsid w:val="FDFFF068"/>
    <w:rsid w:val="FE2A8CD4"/>
    <w:rsid w:val="FE3F7F98"/>
    <w:rsid w:val="FE4C11E8"/>
    <w:rsid w:val="FE6F4B66"/>
    <w:rsid w:val="FE732CA7"/>
    <w:rsid w:val="FE75B7FB"/>
    <w:rsid w:val="FE772B74"/>
    <w:rsid w:val="FE773008"/>
    <w:rsid w:val="FE778E8D"/>
    <w:rsid w:val="FE77F710"/>
    <w:rsid w:val="FE7BF419"/>
    <w:rsid w:val="FE9BD21F"/>
    <w:rsid w:val="FE9D25AA"/>
    <w:rsid w:val="FEA6D0BF"/>
    <w:rsid w:val="FEAF6B3F"/>
    <w:rsid w:val="FEB3F009"/>
    <w:rsid w:val="FEB81BE3"/>
    <w:rsid w:val="FEBD8A03"/>
    <w:rsid w:val="FEBFFBD3"/>
    <w:rsid w:val="FEBFFFC9"/>
    <w:rsid w:val="FEC5747B"/>
    <w:rsid w:val="FED60B6C"/>
    <w:rsid w:val="FEDF45FD"/>
    <w:rsid w:val="FEEB0E4D"/>
    <w:rsid w:val="FEECB251"/>
    <w:rsid w:val="FEEFF327"/>
    <w:rsid w:val="FEF369B3"/>
    <w:rsid w:val="FEF3DBE6"/>
    <w:rsid w:val="FEF63460"/>
    <w:rsid w:val="FEF70C1E"/>
    <w:rsid w:val="FEF7884D"/>
    <w:rsid w:val="FEF7BB00"/>
    <w:rsid w:val="FEFB8C35"/>
    <w:rsid w:val="FEFD24C5"/>
    <w:rsid w:val="FEFE885D"/>
    <w:rsid w:val="FEFFA999"/>
    <w:rsid w:val="FEFFDDC8"/>
    <w:rsid w:val="FEFFE773"/>
    <w:rsid w:val="FF150CDA"/>
    <w:rsid w:val="FF1F9A7B"/>
    <w:rsid w:val="FF1FB002"/>
    <w:rsid w:val="FF253F07"/>
    <w:rsid w:val="FF2E6FEB"/>
    <w:rsid w:val="FF2F9F10"/>
    <w:rsid w:val="FF357D24"/>
    <w:rsid w:val="FF39CB23"/>
    <w:rsid w:val="FF3B41CA"/>
    <w:rsid w:val="FF3F341F"/>
    <w:rsid w:val="FF3FC642"/>
    <w:rsid w:val="FF579D57"/>
    <w:rsid w:val="FF5B228A"/>
    <w:rsid w:val="FF5E3770"/>
    <w:rsid w:val="FF5F28B6"/>
    <w:rsid w:val="FF5F3C96"/>
    <w:rsid w:val="FF5F3F41"/>
    <w:rsid w:val="FF5FBE59"/>
    <w:rsid w:val="FF72C8D1"/>
    <w:rsid w:val="FF735EA4"/>
    <w:rsid w:val="FF74D662"/>
    <w:rsid w:val="FF75A4F7"/>
    <w:rsid w:val="FF770E52"/>
    <w:rsid w:val="FF777637"/>
    <w:rsid w:val="FF7A66C8"/>
    <w:rsid w:val="FF7B7DB6"/>
    <w:rsid w:val="FF7B98CE"/>
    <w:rsid w:val="FF7F02F0"/>
    <w:rsid w:val="FF7F224B"/>
    <w:rsid w:val="FF7F2744"/>
    <w:rsid w:val="FF7F2E39"/>
    <w:rsid w:val="FF7F8D89"/>
    <w:rsid w:val="FF7FA033"/>
    <w:rsid w:val="FF7FAC6B"/>
    <w:rsid w:val="FF7FC3A2"/>
    <w:rsid w:val="FF7FFD54"/>
    <w:rsid w:val="FF8C65FC"/>
    <w:rsid w:val="FF8F822F"/>
    <w:rsid w:val="FF90EAAF"/>
    <w:rsid w:val="FF975B81"/>
    <w:rsid w:val="FF9A075D"/>
    <w:rsid w:val="FF9C19B8"/>
    <w:rsid w:val="FF9E9F10"/>
    <w:rsid w:val="FFA3827F"/>
    <w:rsid w:val="FFA48246"/>
    <w:rsid w:val="FFABA5B3"/>
    <w:rsid w:val="FFAF13FB"/>
    <w:rsid w:val="FFAF65E8"/>
    <w:rsid w:val="FFB3D47B"/>
    <w:rsid w:val="FFB3DDCD"/>
    <w:rsid w:val="FFB5C5C7"/>
    <w:rsid w:val="FFB7E949"/>
    <w:rsid w:val="FFBB7814"/>
    <w:rsid w:val="FFBB7F32"/>
    <w:rsid w:val="FFBC0BA7"/>
    <w:rsid w:val="FFBCDE26"/>
    <w:rsid w:val="FFBD0C0A"/>
    <w:rsid w:val="FFBD411C"/>
    <w:rsid w:val="FFBDA804"/>
    <w:rsid w:val="FFBE662D"/>
    <w:rsid w:val="FFBE6EF1"/>
    <w:rsid w:val="FFBE74CB"/>
    <w:rsid w:val="FFBF27AD"/>
    <w:rsid w:val="FFBF297D"/>
    <w:rsid w:val="FFBF3466"/>
    <w:rsid w:val="FFBF5CA3"/>
    <w:rsid w:val="FFBF60F5"/>
    <w:rsid w:val="FFC23C87"/>
    <w:rsid w:val="FFC739D0"/>
    <w:rsid w:val="FFC7630D"/>
    <w:rsid w:val="FFCBF3D7"/>
    <w:rsid w:val="FFCE2793"/>
    <w:rsid w:val="FFD4D5AF"/>
    <w:rsid w:val="FFD54C0C"/>
    <w:rsid w:val="FFD75BD4"/>
    <w:rsid w:val="FFD98F33"/>
    <w:rsid w:val="FFDC6F96"/>
    <w:rsid w:val="FFDDA1F0"/>
    <w:rsid w:val="FFDDE211"/>
    <w:rsid w:val="FFDE150F"/>
    <w:rsid w:val="FFDE72CD"/>
    <w:rsid w:val="FFDE87C1"/>
    <w:rsid w:val="FFDEFC9C"/>
    <w:rsid w:val="FFDFD6F5"/>
    <w:rsid w:val="FFDFDDB1"/>
    <w:rsid w:val="FFDFE3ED"/>
    <w:rsid w:val="FFE1EEC7"/>
    <w:rsid w:val="FFE5BEB3"/>
    <w:rsid w:val="FFE67784"/>
    <w:rsid w:val="FFE73DB8"/>
    <w:rsid w:val="FFE7ABFD"/>
    <w:rsid w:val="FFE8DA06"/>
    <w:rsid w:val="FFE95C2D"/>
    <w:rsid w:val="FFE999F5"/>
    <w:rsid w:val="FFEA6324"/>
    <w:rsid w:val="FFEB9994"/>
    <w:rsid w:val="FFEBD6DB"/>
    <w:rsid w:val="FFEEA284"/>
    <w:rsid w:val="FFEF2899"/>
    <w:rsid w:val="FFEF51E6"/>
    <w:rsid w:val="FFEF6B2E"/>
    <w:rsid w:val="FFEFC163"/>
    <w:rsid w:val="FFEFF4E9"/>
    <w:rsid w:val="FFEFFFBD"/>
    <w:rsid w:val="FFF19DDC"/>
    <w:rsid w:val="FFF2B5C7"/>
    <w:rsid w:val="FFF3834E"/>
    <w:rsid w:val="FFF5A61D"/>
    <w:rsid w:val="FFF5D20A"/>
    <w:rsid w:val="FFF6041B"/>
    <w:rsid w:val="FFF6B6E1"/>
    <w:rsid w:val="FFF75ADD"/>
    <w:rsid w:val="FFF75F4C"/>
    <w:rsid w:val="FFF7825C"/>
    <w:rsid w:val="FFF98033"/>
    <w:rsid w:val="FFFAB747"/>
    <w:rsid w:val="FFFB026D"/>
    <w:rsid w:val="FFFB1154"/>
    <w:rsid w:val="FFFB19A5"/>
    <w:rsid w:val="FFFB22BE"/>
    <w:rsid w:val="FFFB4588"/>
    <w:rsid w:val="FFFB459B"/>
    <w:rsid w:val="FFFB5640"/>
    <w:rsid w:val="FFFB6A97"/>
    <w:rsid w:val="FFFBA670"/>
    <w:rsid w:val="FFFBB2C0"/>
    <w:rsid w:val="FFFC04CF"/>
    <w:rsid w:val="FFFC8587"/>
    <w:rsid w:val="FFFCB791"/>
    <w:rsid w:val="FFFD24B9"/>
    <w:rsid w:val="FFFDC48B"/>
    <w:rsid w:val="FFFDC783"/>
    <w:rsid w:val="FFFDF502"/>
    <w:rsid w:val="FFFE2264"/>
    <w:rsid w:val="FFFE3F0D"/>
    <w:rsid w:val="FFFF0117"/>
    <w:rsid w:val="FFFF0EE1"/>
    <w:rsid w:val="FFFF16FF"/>
    <w:rsid w:val="FFFF3002"/>
    <w:rsid w:val="FFFF34A3"/>
    <w:rsid w:val="FFFF36EF"/>
    <w:rsid w:val="FFFF3F6B"/>
    <w:rsid w:val="FFFF47FB"/>
    <w:rsid w:val="FFFF487A"/>
    <w:rsid w:val="FFFF48D6"/>
    <w:rsid w:val="FFFF4EE2"/>
    <w:rsid w:val="FFFF6BFE"/>
    <w:rsid w:val="FFFF8017"/>
    <w:rsid w:val="FFFF8059"/>
    <w:rsid w:val="FFFF8195"/>
    <w:rsid w:val="FFFFC4B2"/>
    <w:rsid w:val="FFFFC629"/>
    <w:rsid w:val="FFFFE5D2"/>
    <w:rsid w:val="FFFFF482"/>
    <w:rsid w:val="FFFFFF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spacing w:beforeAutospacing="1" w:afterAutospacing="1"/>
      <w:outlineLvl w:val="1"/>
    </w:pPr>
    <w:rPr>
      <w:rFonts w:hint="eastAsia" w:ascii="宋体" w:hAnsi="宋体" w:eastAsia="宋体" w:cs="Times New Roman"/>
      <w:b/>
      <w:sz w:val="36"/>
      <w:szCs w:val="36"/>
      <w:lang w:eastAsia="zh-CN"/>
    </w:rPr>
  </w:style>
  <w:style w:type="paragraph" w:styleId="2">
    <w:name w:val="heading 3"/>
    <w:basedOn w:val="1"/>
    <w:next w:val="1"/>
    <w:unhideWhenUsed/>
    <w:qFormat/>
    <w:uiPriority w:val="0"/>
    <w:pPr>
      <w:spacing w:beforeAutospacing="1" w:afterAutospacing="1"/>
      <w:outlineLvl w:val="2"/>
    </w:pPr>
    <w:rPr>
      <w:rFonts w:hint="eastAsia" w:ascii="宋体" w:hAnsi="宋体" w:eastAsia="宋体" w:cs="Times New Roman"/>
      <w:b/>
      <w:sz w:val="27"/>
      <w:szCs w:val="27"/>
      <w:lang w:eastAsia="zh-CN"/>
    </w:rPr>
  </w:style>
  <w:style w:type="paragraph" w:styleId="5">
    <w:name w:val="heading 4"/>
    <w:basedOn w:val="1"/>
    <w:next w:val="1"/>
    <w:unhideWhenUsed/>
    <w:qFormat/>
    <w:uiPriority w:val="0"/>
    <w:pPr>
      <w:spacing w:beforeAutospacing="1" w:afterAutospacing="1"/>
      <w:outlineLvl w:val="3"/>
    </w:pPr>
    <w:rPr>
      <w:rFonts w:hint="eastAsia" w:ascii="宋体" w:hAnsi="宋体" w:eastAsia="宋体" w:cs="Times New Roman"/>
      <w:b/>
      <w:bCs/>
      <w:sz w:val="24"/>
      <w:szCs w:val="24"/>
      <w:lang w:eastAsia="zh-CN"/>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qFormat/>
    <w:uiPriority w:val="0"/>
  </w:style>
  <w:style w:type="paragraph" w:styleId="8">
    <w:name w:val="Body Text"/>
    <w:basedOn w:val="1"/>
    <w:qFormat/>
    <w:uiPriority w:val="0"/>
    <w:pPr>
      <w:spacing w:after="120"/>
    </w:pPr>
    <w:rPr>
      <w:rFonts w:ascii="Calibri" w:hAnsi="Calibri" w:eastAsia="宋体" w:cs="Times New Roman"/>
      <w:szCs w:val="24"/>
    </w:rPr>
  </w:style>
  <w:style w:type="paragraph" w:styleId="9">
    <w:name w:val="Body Text Indent"/>
    <w:basedOn w:val="1"/>
    <w:qFormat/>
    <w:uiPriority w:val="0"/>
    <w:pPr>
      <w:spacing w:line="600" w:lineRule="exact"/>
      <w:ind w:firstLine="570"/>
    </w:pPr>
    <w:rPr>
      <w:rFonts w:ascii="仿宋_GB2312"/>
    </w:rPr>
  </w:style>
  <w:style w:type="paragraph" w:styleId="10">
    <w:name w:val="Plain Text"/>
    <w:basedOn w:val="1"/>
    <w:next w:val="11"/>
    <w:qFormat/>
    <w:uiPriority w:val="0"/>
    <w:pPr>
      <w:widowControl w:val="0"/>
      <w:jc w:val="both"/>
    </w:pPr>
    <w:rPr>
      <w:rFonts w:ascii="宋体" w:hAnsi="Courier New" w:eastAsia="宋体" w:cs="Times New Roman"/>
      <w:kern w:val="2"/>
      <w:szCs w:val="24"/>
      <w:lang w:eastAsia="zh-CN"/>
    </w:rPr>
  </w:style>
  <w:style w:type="paragraph" w:customStyle="1" w:styleId="11">
    <w:name w:val="Default"/>
    <w:next w:val="12"/>
    <w:qFormat/>
    <w:uiPriority w:val="0"/>
    <w:pPr>
      <w:widowControl w:val="0"/>
      <w:autoSpaceDE w:val="0"/>
      <w:autoSpaceDN w:val="0"/>
      <w:adjustRightInd w:val="0"/>
    </w:pPr>
    <w:rPr>
      <w:rFonts w:hint="eastAsia" w:ascii="仿宋_GB2312" w:hAnsi="仿宋_GB2312" w:eastAsia="仿宋_GB2312" w:cs="Times New Roman"/>
      <w:color w:val="000000"/>
      <w:sz w:val="24"/>
      <w:szCs w:val="22"/>
      <w:lang w:val="en-US" w:eastAsia="zh-CN" w:bidi="ar-SA"/>
    </w:rPr>
  </w:style>
  <w:style w:type="paragraph" w:customStyle="1" w:styleId="12">
    <w:name w:val="6'"/>
    <w:next w:val="13"/>
    <w:qFormat/>
    <w:uiPriority w:val="0"/>
    <w:pPr>
      <w:widowControl w:val="0"/>
      <w:autoSpaceDE w:val="0"/>
      <w:autoSpaceDN w:val="0"/>
      <w:adjustRightInd w:val="0"/>
      <w:snapToGrid w:val="0"/>
      <w:spacing w:line="320" w:lineRule="exact"/>
      <w:jc w:val="center"/>
      <w:textAlignment w:val="baseline"/>
    </w:pPr>
    <w:rPr>
      <w:rFonts w:ascii="Times New Roman" w:hAnsi="Times New Roman" w:eastAsia="仿宋_GB2312" w:cs="Times New Roman"/>
      <w:spacing w:val="20"/>
      <w:kern w:val="28"/>
      <w:sz w:val="32"/>
      <w:lang w:val="en-US" w:eastAsia="zh-CN" w:bidi="ar-SA"/>
    </w:rPr>
  </w:style>
  <w:style w:type="paragraph" w:customStyle="1" w:styleId="13">
    <w:name w:val="AOHead3"/>
    <w:next w:val="1"/>
    <w:qFormat/>
    <w:uiPriority w:val="0"/>
    <w:pPr>
      <w:spacing w:line="360" w:lineRule="auto"/>
      <w:ind w:left="1260"/>
      <w:jc w:val="both"/>
      <w:outlineLvl w:val="2"/>
    </w:pPr>
    <w:rPr>
      <w:rFonts w:ascii="Times New Roman" w:hAnsi="Times New Roman" w:eastAsia="仿宋_GB2312" w:cs="Times New Roman"/>
      <w:color w:val="0000FF"/>
      <w:kern w:val="2"/>
      <w:sz w:val="24"/>
      <w:szCs w:val="32"/>
      <w:lang w:val="en-US" w:eastAsia="zh-CN" w:bidi="ar-SA"/>
    </w:rPr>
  </w:style>
  <w:style w:type="paragraph" w:styleId="14">
    <w:name w:val="Body Text Indent 2"/>
    <w:basedOn w:val="1"/>
    <w:qFormat/>
    <w:uiPriority w:val="0"/>
    <w:pPr>
      <w:spacing w:line="480" w:lineRule="auto"/>
      <w:ind w:left="420" w:leftChars="200"/>
    </w:pPr>
  </w:style>
  <w:style w:type="paragraph" w:styleId="15">
    <w:name w:val="Balloon Text"/>
    <w:basedOn w:val="1"/>
    <w:link w:val="35"/>
    <w:qFormat/>
    <w:uiPriority w:val="0"/>
    <w:rPr>
      <w:sz w:val="18"/>
      <w:szCs w:val="18"/>
    </w:rPr>
  </w:style>
  <w:style w:type="paragraph" w:styleId="16">
    <w:name w:val="footer"/>
    <w:basedOn w:val="1"/>
    <w:next w:val="1"/>
    <w:qFormat/>
    <w:uiPriority w:val="0"/>
    <w:pPr>
      <w:tabs>
        <w:tab w:val="center" w:pos="4153"/>
        <w:tab w:val="right" w:pos="8306"/>
      </w:tabs>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8">
    <w:name w:val="toc 1"/>
    <w:basedOn w:val="1"/>
    <w:next w:val="1"/>
    <w:qFormat/>
    <w:uiPriority w:val="0"/>
  </w:style>
  <w:style w:type="paragraph" w:styleId="19">
    <w:name w:val="footnote text"/>
    <w:basedOn w:val="1"/>
    <w:qFormat/>
    <w:uiPriority w:val="0"/>
    <w:rPr>
      <w:sz w:val="18"/>
    </w:rPr>
  </w:style>
  <w:style w:type="paragraph" w:styleId="20">
    <w:name w:val="toc 2"/>
    <w:basedOn w:val="1"/>
    <w:next w:val="1"/>
    <w:qFormat/>
    <w:uiPriority w:val="0"/>
    <w:pPr>
      <w:ind w:left="420" w:leftChars="200"/>
    </w:pPr>
  </w:style>
  <w:style w:type="paragraph" w:styleId="21">
    <w:name w:val="Normal (Web)"/>
    <w:basedOn w:val="1"/>
    <w:qFormat/>
    <w:uiPriority w:val="0"/>
    <w:pPr>
      <w:spacing w:beforeAutospacing="1" w:afterAutospacing="1"/>
    </w:pPr>
    <w:rPr>
      <w:rFonts w:cs="Times New Roman"/>
      <w:sz w:val="24"/>
      <w:lang w:eastAsia="zh-CN"/>
    </w:rPr>
  </w:style>
  <w:style w:type="paragraph" w:styleId="22">
    <w:name w:val="Body Text First Indent 2"/>
    <w:basedOn w:val="9"/>
    <w:qFormat/>
    <w:uiPriority w:val="0"/>
    <w:pPr>
      <w:spacing w:line="560" w:lineRule="exact"/>
      <w:ind w:firstLine="200" w:firstLineChars="200"/>
    </w:pPr>
    <w:rPr>
      <w:rFonts w:ascii="Times New Roman" w:eastAsia="仿宋_GB2312"/>
      <w:sz w:val="28"/>
      <w:szCs w:val="28"/>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Strong"/>
    <w:basedOn w:val="25"/>
    <w:qFormat/>
    <w:uiPriority w:val="0"/>
    <w:rPr>
      <w:b/>
    </w:rPr>
  </w:style>
  <w:style w:type="character" w:styleId="27">
    <w:name w:val="page number"/>
    <w:basedOn w:val="25"/>
    <w:qFormat/>
    <w:uiPriority w:val="0"/>
  </w:style>
  <w:style w:type="character" w:styleId="28">
    <w:name w:val="Emphasis"/>
    <w:basedOn w:val="25"/>
    <w:qFormat/>
    <w:uiPriority w:val="0"/>
    <w:rPr>
      <w:i/>
    </w:rPr>
  </w:style>
  <w:style w:type="character" w:styleId="29">
    <w:name w:val="footnote reference"/>
    <w:basedOn w:val="25"/>
    <w:qFormat/>
    <w:uiPriority w:val="0"/>
    <w:rPr>
      <w:vertAlign w:val="superscript"/>
    </w:rPr>
  </w:style>
  <w:style w:type="paragraph" w:customStyle="1" w:styleId="30">
    <w:name w:val="Char Char Char Char Char Char Char Char Char"/>
    <w:basedOn w:val="1"/>
    <w:qFormat/>
    <w:uiPriority w:val="0"/>
    <w:pPr>
      <w:spacing w:after="160" w:line="240" w:lineRule="exact"/>
    </w:pPr>
    <w:rPr>
      <w:rFonts w:eastAsia="仿宋_GB2312"/>
      <w:sz w:val="32"/>
      <w:szCs w:val="20"/>
    </w:rPr>
  </w:style>
  <w:style w:type="paragraph" w:customStyle="1" w:styleId="31">
    <w:name w:val="常用样式（方正仿宋简）"/>
    <w:basedOn w:val="1"/>
    <w:qFormat/>
    <w:uiPriority w:val="0"/>
    <w:pPr>
      <w:spacing w:line="560" w:lineRule="exact"/>
      <w:ind w:firstLine="640" w:firstLineChars="200"/>
    </w:pPr>
    <w:rPr>
      <w:rFonts w:ascii="Times New Roman" w:hAnsi="Times New Roman" w:eastAsia="方正仿宋简体"/>
      <w:sz w:val="32"/>
      <w:szCs w:val="32"/>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4">
    <w:name w:val="无间隔1"/>
    <w:basedOn w:val="1"/>
    <w:qFormat/>
    <w:uiPriority w:val="1"/>
    <w:rPr>
      <w:sz w:val="24"/>
    </w:rPr>
  </w:style>
  <w:style w:type="character" w:customStyle="1" w:styleId="35">
    <w:name w:val="批注框文本 Char"/>
    <w:basedOn w:val="25"/>
    <w:link w:val="15"/>
    <w:qFormat/>
    <w:uiPriority w:val="0"/>
    <w:rPr>
      <w:rFonts w:ascii="Arial" w:hAnsi="Arial" w:eastAsia="Arial" w:cs="Arial"/>
      <w:snapToGrid w:val="0"/>
      <w:color w:val="00000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C0C037-325D-4A02-BFD4-6AB5B69768A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189</Pages>
  <Words>8735</Words>
  <Characters>8987</Characters>
  <Lines>748</Lines>
  <Paragraphs>210</Paragraphs>
  <TotalTime>0</TotalTime>
  <ScaleCrop>false</ScaleCrop>
  <LinksUpToDate>false</LinksUpToDate>
  <CharactersWithSpaces>9341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2026-07-03T02:45:00Z</dcterms:created>
  <dc:creator>960</dc:creator>
  <cp:lastModifiedBy>钟绿</cp:lastModifiedBy>
  <cp:lastPrinted>2026-07-02T09:18:00Z</cp:lastPrinted>
  <dcterms:modified xsi:type="dcterms:W3CDTF">2026-08-07T04:40:39Z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66F379323B2E4DF98CF4A0C8722577E0_13</vt:lpwstr>
  </property>
  <property fmtid="{D5CDD505-2E9C-101B-9397-08002B2CF9AE}" pid="4" name="KSOTemplateDocerSaveRecord">
    <vt:lpwstr>eyJoZGlkIjoiNDlmZDQ5YWM3ODllZDdlMWNmN2VhODUwNGQyYTYyMjMiLCJ1c2VySWQiOiI4MDQ2MDEwNDYifQ==</vt:lpwstr>
  </property>
</Properties>
</file>