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pStyle w:val="2"/>
        <w:rPr>
          <w:rFonts w:hint="eastAsia"/>
        </w:rPr>
      </w:pPr>
      <w:r>
        <w:rPr>
          <w:rFonts w:hint="eastAsia" w:ascii="方正小标宋简体" w:hAnsi="方正小标宋简体" w:eastAsia="方正小标宋简体" w:cs="方正小标宋简体"/>
          <w:sz w:val="44"/>
          <w:szCs w:val="44"/>
        </w:rPr>
        <w:t>广东省粤港澳大湾区内地九市临床急需</w:t>
      </w:r>
      <w:r>
        <w:rPr>
          <w:rFonts w:hint="eastAsia" w:ascii="方正小标宋简体" w:hAnsi="方正小标宋简体" w:eastAsia="方正小标宋简体" w:cs="方正小标宋简体"/>
          <w:sz w:val="44"/>
          <w:szCs w:val="44"/>
          <w:lang w:eastAsia="zh-CN"/>
        </w:rPr>
        <w:t>进口</w:t>
      </w:r>
      <w:r>
        <w:rPr>
          <w:rFonts w:hint="eastAsia" w:ascii="方正小标宋简体" w:hAnsi="方正小标宋简体" w:eastAsia="方正小标宋简体" w:cs="方正小标宋简体"/>
          <w:sz w:val="44"/>
          <w:szCs w:val="44"/>
        </w:rPr>
        <w:t>港澳药品目录</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2025版</w:t>
      </w:r>
      <w:r>
        <w:rPr>
          <w:rFonts w:hint="eastAsia" w:ascii="方正小标宋简体" w:hAnsi="方正小标宋简体" w:eastAsia="方正小标宋简体" w:cs="方正小标宋简体"/>
          <w:sz w:val="44"/>
          <w:szCs w:val="44"/>
          <w:lang w:eastAsia="zh-CN"/>
        </w:rPr>
        <w:t>）</w:t>
      </w:r>
    </w:p>
    <w:tbl>
      <w:tblPr>
        <w:tblStyle w:val="6"/>
        <w:tblW w:w="139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533"/>
        <w:gridCol w:w="2320"/>
        <w:gridCol w:w="3034"/>
        <w:gridCol w:w="2779"/>
        <w:gridCol w:w="1520"/>
        <w:gridCol w:w="1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blHeader/>
          <w:jc w:val="center"/>
        </w:trPr>
        <w:tc>
          <w:tcPr>
            <w:tcW w:w="81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序号</w:t>
            </w:r>
          </w:p>
        </w:tc>
        <w:tc>
          <w:tcPr>
            <w:tcW w:w="153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中文名称</w:t>
            </w:r>
          </w:p>
        </w:tc>
        <w:tc>
          <w:tcPr>
            <w:tcW w:w="23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英文名称（INN）</w:t>
            </w:r>
          </w:p>
        </w:tc>
        <w:tc>
          <w:tcPr>
            <w:tcW w:w="30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适应症/功能主治</w:t>
            </w:r>
          </w:p>
        </w:tc>
        <w:tc>
          <w:tcPr>
            <w:tcW w:w="277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持有人</w:t>
            </w:r>
          </w:p>
        </w:tc>
        <w:tc>
          <w:tcPr>
            <w:tcW w:w="15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规格</w:t>
            </w:r>
          </w:p>
        </w:tc>
        <w:tc>
          <w:tcPr>
            <w:tcW w:w="19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包装规格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color w:val="000000"/>
                <w:kern w:val="0"/>
                <w:sz w:val="18"/>
                <w:szCs w:val="18"/>
                <w:highlight w:val="none"/>
              </w:rPr>
              <w:t>1</w:t>
            </w:r>
          </w:p>
        </w:tc>
        <w:tc>
          <w:tcPr>
            <w:tcW w:w="1533"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color w:val="000000"/>
                <w:kern w:val="0"/>
                <w:sz w:val="18"/>
                <w:szCs w:val="18"/>
                <w:highlight w:val="none"/>
              </w:rPr>
              <w:t>卡那奴单抗</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Canakinumab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eastAsia="zh-CN"/>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系统性幼年特发性关节炎</w:t>
            </w:r>
            <w:r>
              <w:rPr>
                <w:rStyle w:val="7"/>
                <w:rFonts w:hint="eastAsia" w:asciiTheme="minorEastAsia" w:hAnsiTheme="minorEastAsia" w:eastAsiaTheme="minorEastAsia" w:cstheme="minorEastAsia"/>
                <w:color w:val="000000"/>
                <w:sz w:val="18"/>
                <w:szCs w:val="18"/>
                <w:highlight w:val="none"/>
                <w:lang w:val="en-US" w:eastAsia="zh-CN" w:bidi="ar"/>
              </w:rPr>
              <w:t>,</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冷吡啉相关的周期性综合征，高免疫球蛋白</w:t>
            </w:r>
            <w:r>
              <w:rPr>
                <w:rStyle w:val="7"/>
                <w:rFonts w:hint="eastAsia" w:asciiTheme="minorEastAsia" w:hAnsiTheme="minorEastAsia" w:eastAsiaTheme="minorEastAsia" w:cstheme="minorEastAsia"/>
                <w:color w:val="000000"/>
                <w:sz w:val="18"/>
                <w:szCs w:val="18"/>
                <w:highlight w:val="none"/>
                <w:lang w:val="en-US" w:eastAsia="zh-CN" w:bidi="ar"/>
              </w:rPr>
              <w:t>D</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综合征</w:t>
            </w:r>
            <w:r>
              <w:rPr>
                <w:rStyle w:val="7"/>
                <w:rFonts w:hint="eastAsia" w:asciiTheme="minorEastAsia" w:hAnsiTheme="minorEastAsia" w:eastAsiaTheme="minorEastAsia" w:cstheme="minorEastAsia"/>
                <w:color w:val="000000"/>
                <w:sz w:val="18"/>
                <w:szCs w:val="18"/>
                <w:highlight w:val="none"/>
                <w:lang w:val="en-US" w:eastAsia="zh-CN" w:bidi="ar"/>
              </w:rPr>
              <w:t>，</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家族性地中海热</w:t>
            </w:r>
            <w:r>
              <w:rPr>
                <w:rStyle w:val="7"/>
                <w:rFonts w:hint="eastAsia" w:asciiTheme="minorEastAsia" w:hAnsiTheme="minorEastAsia" w:eastAsiaTheme="minorEastAsia" w:cstheme="minorEastAsia"/>
                <w:color w:val="000000"/>
                <w:sz w:val="18"/>
                <w:szCs w:val="18"/>
                <w:highlight w:val="none"/>
                <w:lang w:val="en-US" w:eastAsia="zh-CN" w:bidi="ar"/>
              </w:rPr>
              <w:t>，</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肿瘤坏死因子受体相关周期性综合症</w:t>
            </w:r>
            <w:r>
              <w:rPr>
                <w:rStyle w:val="7"/>
                <w:rFonts w:hint="eastAsia" w:asciiTheme="minorEastAsia" w:hAnsiTheme="minorEastAsia" w:eastAsiaTheme="minorEastAsia" w:cstheme="minorEastAsia"/>
                <w:color w:val="000000"/>
                <w:sz w:val="18"/>
                <w:szCs w:val="18"/>
                <w:highlight w:val="none"/>
                <w:lang w:val="en-US" w:eastAsia="zh-CN" w:bidi="ar"/>
              </w:rPr>
              <w:t>，</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关节炎。</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NOVARTIS PHARMACEUTICALS (HK)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Style w:val="8"/>
                <w:rFonts w:hint="eastAsia" w:asciiTheme="minorEastAsia" w:hAnsiTheme="minorEastAsia" w:eastAsiaTheme="minorEastAsia" w:cstheme="minorEastAsia"/>
                <w:color w:val="000000"/>
                <w:sz w:val="18"/>
                <w:szCs w:val="18"/>
                <w:highlight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注射剂：150mg/ml</w:t>
            </w:r>
            <w:r>
              <w:rPr>
                <w:rStyle w:val="8"/>
                <w:rFonts w:hint="eastAsia" w:asciiTheme="minorEastAsia" w:hAnsiTheme="minorEastAsia" w:eastAsiaTheme="minorEastAsia" w:cstheme="minorEastAsia"/>
                <w:color w:val="000000"/>
                <w:sz w:val="18"/>
                <w:szCs w:val="18"/>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rPr>
            </w:pPr>
            <w:r>
              <w:rPr>
                <w:rStyle w:val="8"/>
                <w:rFonts w:hint="eastAsia" w:asciiTheme="minorEastAsia" w:hAnsiTheme="minorEastAsia" w:eastAsiaTheme="minorEastAsia" w:cstheme="minorEastAsia"/>
                <w:color w:val="000000"/>
                <w:sz w:val="18"/>
                <w:szCs w:val="18"/>
                <w:highlight w:val="none"/>
                <w:lang w:val="en-US" w:eastAsia="zh-CN" w:bidi="ar"/>
              </w:rPr>
              <w:t>溶液剂：150mg。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Style w:val="8"/>
                <w:rFonts w:hint="eastAsia" w:asciiTheme="minorEastAsia" w:hAnsiTheme="minorEastAsia" w:eastAsiaTheme="minorEastAsia" w:cstheme="minorEastAsia"/>
                <w:color w:val="000000"/>
                <w:sz w:val="18"/>
                <w:szCs w:val="18"/>
                <w:highlight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注射剂</w:t>
            </w:r>
            <w:r>
              <w:rPr>
                <w:rStyle w:val="8"/>
                <w:rFonts w:hint="eastAsia" w:asciiTheme="minorEastAsia" w:hAnsiTheme="minorEastAsia" w:eastAsiaTheme="minorEastAsia" w:cstheme="minorEastAsia"/>
                <w:color w:val="000000"/>
                <w:sz w:val="18"/>
                <w:szCs w:val="18"/>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Style w:val="8"/>
                <w:rFonts w:hint="eastAsia" w:asciiTheme="minorEastAsia" w:hAnsiTheme="minorEastAsia" w:eastAsiaTheme="minorEastAsia" w:cstheme="minorEastAsia"/>
                <w:color w:val="000000"/>
                <w:sz w:val="18"/>
                <w:szCs w:val="18"/>
                <w:highlight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r>
              <w:rPr>
                <w:rStyle w:val="8"/>
                <w:rFonts w:hint="eastAsia" w:asciiTheme="minorEastAsia" w:hAnsiTheme="minorEastAsia" w:eastAsiaTheme="minorEastAsia" w:cstheme="minorEastAsia"/>
                <w:color w:val="000000"/>
                <w:sz w:val="18"/>
                <w:szCs w:val="18"/>
                <w:highlight w:val="none"/>
                <w:lang w:val="en-US" w:eastAsia="zh-CN" w:bidi="ar"/>
              </w:rPr>
              <w:t>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8"/>
                <w:rFonts w:hint="eastAsia" w:asciiTheme="minorEastAsia" w:hAnsiTheme="minorEastAsia" w:eastAsiaTheme="minorEastAsia" w:cstheme="minorEastAsia"/>
                <w:color w:val="000000"/>
                <w:sz w:val="18"/>
                <w:szCs w:val="18"/>
                <w:highlight w:val="none"/>
                <w:lang w:val="en-US" w:eastAsia="zh-CN" w:bidi="ar"/>
              </w:rPr>
              <w:t>盒；</w:t>
            </w:r>
          </w:p>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Style w:val="8"/>
                <w:rFonts w:hint="eastAsia" w:asciiTheme="minorEastAsia" w:hAnsiTheme="minorEastAsia" w:eastAsiaTheme="minorEastAsia" w:cstheme="minorEastAsia"/>
                <w:color w:val="000000"/>
                <w:sz w:val="18"/>
                <w:szCs w:val="18"/>
                <w:highlight w:val="none"/>
                <w:lang w:val="en-US" w:eastAsia="zh-CN" w:bidi="ar"/>
              </w:rPr>
            </w:pPr>
            <w:r>
              <w:rPr>
                <w:rStyle w:val="8"/>
                <w:rFonts w:hint="eastAsia" w:asciiTheme="minorEastAsia" w:hAnsiTheme="minorEastAsia" w:eastAsiaTheme="minorEastAsia" w:cstheme="minorEastAsia"/>
                <w:color w:val="000000"/>
                <w:sz w:val="18"/>
                <w:szCs w:val="18"/>
                <w:highlight w:val="none"/>
                <w:lang w:val="en-US" w:eastAsia="zh-CN" w:bidi="ar"/>
              </w:rPr>
              <w:t>溶液剂：</w:t>
            </w:r>
          </w:p>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r>
              <w:rPr>
                <w:rStyle w:val="8"/>
                <w:rFonts w:hint="eastAsia" w:asciiTheme="minorEastAsia" w:hAnsiTheme="minorEastAsia" w:eastAsiaTheme="minorEastAsia" w:cstheme="minorEastAsia"/>
                <w:color w:val="000000"/>
                <w:sz w:val="18"/>
                <w:szCs w:val="18"/>
                <w:highlight w:val="none"/>
                <w:lang w:val="en-US" w:eastAsia="zh-CN" w:bidi="ar"/>
              </w:rPr>
              <w:t>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8"/>
                <w:rFonts w:hint="eastAsia" w:asciiTheme="minorEastAsia" w:hAnsiTheme="minorEastAsia" w:eastAsiaTheme="minorEastAsia" w:cstheme="minorEastAsia"/>
                <w:color w:val="000000"/>
                <w:sz w:val="18"/>
                <w:szCs w:val="18"/>
                <w:highlight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eastAsia="zh-CN"/>
              </w:rPr>
            </w:pPr>
            <w:r>
              <w:rPr>
                <w:rFonts w:hint="eastAsia" w:asciiTheme="minorEastAsia" w:hAnsiTheme="minorEastAsia" w:eastAsiaTheme="minorEastAsia" w:cstheme="minorEastAsia"/>
                <w:color w:val="000000"/>
                <w:kern w:val="0"/>
                <w:sz w:val="18"/>
                <w:szCs w:val="18"/>
                <w:highlight w:val="none"/>
                <w:lang w:val="en-US" w:eastAsia="zh-CN"/>
              </w:rPr>
              <w:t>2</w:t>
            </w:r>
          </w:p>
        </w:tc>
        <w:tc>
          <w:tcPr>
            <w:tcW w:w="1533"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eastAsia="zh-CN"/>
              </w:rPr>
            </w:pPr>
            <w:r>
              <w:rPr>
                <w:rFonts w:hint="eastAsia" w:asciiTheme="minorEastAsia" w:hAnsiTheme="minorEastAsia" w:eastAsiaTheme="minorEastAsia" w:cstheme="minorEastAsia"/>
                <w:color w:val="000000"/>
                <w:kern w:val="0"/>
                <w:sz w:val="18"/>
                <w:szCs w:val="18"/>
                <w:highlight w:val="none"/>
              </w:rPr>
              <w:t>维莫德吉</w:t>
            </w:r>
            <w:r>
              <w:rPr>
                <w:rFonts w:hint="eastAsia" w:asciiTheme="minorEastAsia" w:hAnsiTheme="minorEastAsia" w:eastAsiaTheme="minorEastAsia" w:cstheme="minorEastAsia"/>
                <w:color w:val="000000"/>
                <w:kern w:val="0"/>
                <w:sz w:val="18"/>
                <w:szCs w:val="18"/>
                <w:highlight w:val="none"/>
                <w:lang w:eastAsia="zh-CN"/>
              </w:rPr>
              <w:t>胶囊</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Vismodegib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基底细胞癌</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ROCHE HONG KONG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150mg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28</w:t>
            </w:r>
            <w:r>
              <w:rPr>
                <w:rStyle w:val="8"/>
                <w:rFonts w:hint="eastAsia" w:asciiTheme="minorEastAsia" w:hAnsiTheme="minorEastAsia" w:eastAsiaTheme="minorEastAsia" w:cstheme="minorEastAsia"/>
                <w:color w:val="000000"/>
                <w:sz w:val="18"/>
                <w:szCs w:val="18"/>
                <w:highlight w:val="none"/>
                <w:lang w:val="en-US" w:eastAsia="zh-CN" w:bidi="ar"/>
              </w:rPr>
              <w:t>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8"/>
                <w:rFonts w:hint="eastAsia" w:asciiTheme="minorEastAsia" w:hAnsiTheme="minorEastAsia" w:eastAsiaTheme="minorEastAsia" w:cstheme="minorEastAsia"/>
                <w:color w:val="000000"/>
                <w:sz w:val="18"/>
                <w:szCs w:val="18"/>
                <w:highlight w:val="none"/>
                <w:lang w:val="en-US" w:eastAsia="zh-CN" w:bidi="ar"/>
              </w:rPr>
              <w:t>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r>
              <w:rPr>
                <w:rStyle w:val="8"/>
                <w:rFonts w:hint="eastAsia" w:asciiTheme="minorEastAsia" w:hAnsiTheme="minorEastAsia" w:eastAsiaTheme="minorEastAsia" w:cstheme="minorEastAsia"/>
                <w:color w:val="000000"/>
                <w:sz w:val="18"/>
                <w:szCs w:val="18"/>
                <w:highlight w:val="none"/>
                <w:lang w:val="en-US" w:eastAsia="zh-CN" w:bidi="ar"/>
              </w:rPr>
              <w:t>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8"/>
                <w:rFonts w:hint="eastAsia" w:asciiTheme="minorEastAsia" w:hAnsiTheme="minorEastAsia" w:eastAsiaTheme="minorEastAsia" w:cstheme="minorEastAsia"/>
                <w:color w:val="000000"/>
                <w:sz w:val="18"/>
                <w:szCs w:val="18"/>
                <w:highlight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3</w:t>
            </w:r>
          </w:p>
        </w:tc>
        <w:tc>
          <w:tcPr>
            <w:tcW w:w="1533"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color w:val="000000"/>
                <w:kern w:val="0"/>
                <w:sz w:val="18"/>
                <w:szCs w:val="18"/>
                <w:highlight w:val="none"/>
              </w:rPr>
              <w:t>盐酸维那卡兰</w:t>
            </w:r>
          </w:p>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eastAsia="zh-CN"/>
              </w:rPr>
            </w:pPr>
            <w:r>
              <w:rPr>
                <w:rFonts w:hint="eastAsia" w:asciiTheme="minorEastAsia" w:hAnsiTheme="minorEastAsia" w:eastAsiaTheme="minorEastAsia" w:cstheme="minorEastAsia"/>
                <w:color w:val="000000"/>
                <w:kern w:val="0"/>
                <w:sz w:val="18"/>
                <w:szCs w:val="18"/>
                <w:highlight w:val="none"/>
                <w:lang w:eastAsia="zh-CN"/>
              </w:rPr>
              <w:t>注射液</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Vernakalant Hydrochloride</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心房颤</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EDDINGPHARM (HONG KONG) COMPANY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20mg/ml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r>
              <w:rPr>
                <w:rStyle w:val="8"/>
                <w:rFonts w:hint="eastAsia" w:asciiTheme="minorEastAsia" w:hAnsiTheme="minorEastAsia" w:eastAsiaTheme="minorEastAsia" w:cstheme="minorEastAsia"/>
                <w:color w:val="000000"/>
                <w:sz w:val="18"/>
                <w:szCs w:val="18"/>
                <w:highlight w:val="none"/>
                <w:lang w:val="en-US" w:eastAsia="zh-CN" w:bidi="ar"/>
              </w:rPr>
              <w:t>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8"/>
                <w:rFonts w:hint="eastAsia" w:asciiTheme="minorEastAsia" w:hAnsiTheme="minorEastAsia" w:eastAsiaTheme="minorEastAsia" w:cstheme="minorEastAsia"/>
                <w:color w:val="000000"/>
                <w:sz w:val="18"/>
                <w:szCs w:val="18"/>
                <w:highlight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4</w:t>
            </w:r>
          </w:p>
        </w:tc>
        <w:tc>
          <w:tcPr>
            <w:tcW w:w="1533"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color w:val="000000"/>
                <w:kern w:val="0"/>
                <w:sz w:val="18"/>
                <w:szCs w:val="18"/>
                <w:highlight w:val="none"/>
              </w:rPr>
              <w:t>阿仑珠单抗</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Alemtuzumab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多发性硬化</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SANOFI HONG KONG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12mg/1.2ml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r>
              <w:rPr>
                <w:rStyle w:val="8"/>
                <w:rFonts w:hint="eastAsia" w:asciiTheme="minorEastAsia" w:hAnsiTheme="minorEastAsia" w:eastAsiaTheme="minorEastAsia" w:cstheme="minorEastAsia"/>
                <w:color w:val="000000"/>
                <w:sz w:val="18"/>
                <w:szCs w:val="18"/>
                <w:highlight w:val="none"/>
                <w:lang w:val="en-US" w:eastAsia="zh-CN" w:bidi="ar"/>
              </w:rPr>
              <w:t>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8"/>
                <w:rFonts w:hint="eastAsia" w:asciiTheme="minorEastAsia" w:hAnsiTheme="minorEastAsia" w:eastAsiaTheme="minorEastAsia" w:cstheme="minorEastAsia"/>
                <w:color w:val="000000"/>
                <w:sz w:val="18"/>
                <w:szCs w:val="18"/>
                <w:highlight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5</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罗氟司特片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Roflumilast</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慢性阻塞性肺疾病患者</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ASTRAZENECA HONG KONG LTD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0.5mg/</w:t>
            </w:r>
            <w:r>
              <w:rPr>
                <w:rStyle w:val="10"/>
                <w:rFonts w:hint="eastAsia" w:asciiTheme="minorEastAsia" w:hAnsiTheme="minorEastAsia" w:eastAsiaTheme="minorEastAsia" w:cstheme="minorEastAsia"/>
                <w:color w:val="000000"/>
                <w:sz w:val="18"/>
                <w:szCs w:val="18"/>
                <w:highlight w:val="none"/>
                <w:lang w:val="en-US" w:eastAsia="zh-CN" w:bidi="ar"/>
              </w:rPr>
              <w:t>片</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w:t>
            </w:r>
            <w:r>
              <w:rPr>
                <w:rStyle w:val="10"/>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0"/>
                <w:rFonts w:hint="eastAsia" w:asciiTheme="minorEastAsia" w:hAnsiTheme="minorEastAsia" w:eastAsiaTheme="minorEastAsia" w:cstheme="minorEastAsia"/>
                <w:color w:val="000000"/>
                <w:sz w:val="18"/>
                <w:szCs w:val="18"/>
                <w:highlight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6</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卡博替尼薄膜衣片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Cabozantinib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晚期肾癌；晚期肝癌；晚期甲状腺髓样癌。</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BEAUFOUR IPSEN INTERNATIONAL (HONG KONG)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20mg</w:t>
            </w:r>
            <w:r>
              <w:rPr>
                <w:rStyle w:val="11"/>
                <w:rFonts w:hint="eastAsia" w:asciiTheme="minorEastAsia" w:hAnsiTheme="minorEastAsia" w:eastAsiaTheme="minorEastAsia" w:cstheme="minorEastAsia"/>
                <w:color w:val="000000"/>
                <w:sz w:val="18"/>
                <w:szCs w:val="18"/>
                <w:highlight w:val="none"/>
                <w:lang w:val="en-US" w:eastAsia="zh-CN" w:bidi="ar"/>
              </w:rPr>
              <w:t>；</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40mg</w:t>
            </w:r>
            <w:r>
              <w:rPr>
                <w:rStyle w:val="11"/>
                <w:rFonts w:hint="eastAsia" w:asciiTheme="minorEastAsia" w:hAnsiTheme="minorEastAsia" w:eastAsiaTheme="minorEastAsia" w:cstheme="minorEastAsia"/>
                <w:color w:val="000000"/>
                <w:sz w:val="18"/>
                <w:szCs w:val="18"/>
                <w:highlight w:val="none"/>
                <w:lang w:val="en-US" w:eastAsia="zh-CN" w:bidi="ar"/>
              </w:rPr>
              <w:t>；</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60mg</w:t>
            </w:r>
            <w:r>
              <w:rPr>
                <w:rStyle w:val="11"/>
                <w:rFonts w:hint="eastAsia" w:asciiTheme="minorEastAsia" w:hAnsiTheme="minorEastAsia" w:eastAsiaTheme="minorEastAsia" w:cstheme="minorEastAsia"/>
                <w:color w:val="000000"/>
                <w:sz w:val="18"/>
                <w:szCs w:val="18"/>
                <w:highlight w:val="none"/>
                <w:lang w:val="en-US" w:eastAsia="zh-CN" w:bidi="ar"/>
              </w:rPr>
              <w:t>。</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7</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pacing w:val="-11"/>
                <w:sz w:val="18"/>
                <w:szCs w:val="18"/>
                <w:highlight w:val="none"/>
                <w:lang w:val="en-US" w:eastAsia="zh-CN" w:bidi="ar"/>
              </w:rPr>
              <w:t>阿培利司薄膜衣片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Alpelisib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HR阳性，HER2阴性，且使用内分泌治疗作为单独治疗后疾病恶化时出现PIK3CA突变的局部晚期或转移性更年期乳腺癌。</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NOVARTIS PHARMACEUTICALS (HK)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150mg/</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200mg/</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200mg/</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+50mg/</w:t>
            </w:r>
            <w:r>
              <w:rPr>
                <w:rStyle w:val="11"/>
                <w:rFonts w:hint="eastAsia" w:asciiTheme="minorEastAsia" w:hAnsiTheme="minorEastAsia" w:eastAsiaTheme="minorEastAsia" w:cstheme="minorEastAsia"/>
                <w:color w:val="000000"/>
                <w:sz w:val="18"/>
                <w:szCs w:val="18"/>
                <w:highlight w:val="none"/>
                <w:lang w:val="en-US" w:eastAsia="zh-CN" w:bidi="ar"/>
              </w:rPr>
              <w:t>片组合包装。</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56</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28</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200mg*28</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+50mg*28</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8</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注射用羟钴胺素</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Hydroxocobalamin</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氰化物中毒</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ZUELLIG PHARMA LTD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9</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巴氯芬注射液</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Baclofen</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卒中、脑瘫、脊髓损伤、脑损伤等导致的严重痉挛。</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MEKIM LTD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10mg/5ml</w:t>
            </w:r>
            <w:r>
              <w:rPr>
                <w:rStyle w:val="11"/>
                <w:rFonts w:hint="eastAsia" w:asciiTheme="minorEastAsia" w:hAnsiTheme="minorEastAsia" w:eastAsiaTheme="minorEastAsia" w:cstheme="minorEastAsia"/>
                <w:color w:val="000000"/>
                <w:sz w:val="18"/>
                <w:szCs w:val="18"/>
                <w:highlight w:val="none"/>
                <w:lang w:val="en-US" w:eastAsia="zh-CN" w:bidi="ar"/>
              </w:rPr>
              <w:t>；</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0.05mg/1ml</w:t>
            </w:r>
            <w:r>
              <w:rPr>
                <w:rStyle w:val="11"/>
                <w:rFonts w:hint="eastAsia" w:asciiTheme="minorEastAsia" w:hAnsiTheme="minorEastAsia" w:eastAsiaTheme="minorEastAsia" w:cstheme="minorEastAsia"/>
                <w:color w:val="000000"/>
                <w:sz w:val="18"/>
                <w:szCs w:val="18"/>
                <w:highlight w:val="none"/>
                <w:lang w:val="en-US" w:eastAsia="zh-CN" w:bidi="ar"/>
              </w:rPr>
              <w:t>。</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w:t>
            </w:r>
            <w:r>
              <w:rPr>
                <w:rStyle w:val="11"/>
                <w:rFonts w:hint="eastAsia" w:asciiTheme="minorEastAsia" w:hAnsiTheme="minorEastAsia" w:eastAsiaTheme="minorEastAsia" w:cstheme="minorEastAsia"/>
                <w:color w:val="000000"/>
                <w:sz w:val="18"/>
                <w:szCs w:val="18"/>
                <w:highlight w:val="none"/>
                <w:lang w:val="en-US" w:eastAsia="zh-CN" w:bidi="ar"/>
              </w:rPr>
              <w:t>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w:t>
            </w:r>
            <w:r>
              <w:rPr>
                <w:rStyle w:val="11"/>
                <w:rFonts w:hint="eastAsia" w:asciiTheme="minorEastAsia" w:hAnsiTheme="minorEastAsia" w:eastAsiaTheme="minorEastAsia" w:cstheme="minorEastAsia"/>
                <w:color w:val="000000"/>
                <w:sz w:val="18"/>
                <w:szCs w:val="18"/>
                <w:highlight w:val="none"/>
                <w:lang w:val="en-US" w:eastAsia="zh-CN" w:bidi="ar"/>
              </w:rPr>
              <w:t>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10</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肾上腺素注射液（预充笔）</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Adrenaline</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过敏性休克</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ALK-ABELLO A/S</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300MCG/0.3ml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1支预充笔/盒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11</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瑞玛奈珠单抗</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Fremanezumab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治疗偏头痛</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TEVA PHARMACEUTICAL HONG KONG O/B TEVA PHARMACEUTICAL HONG KONG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lang w:val="en-US"/>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225mg/1.5ml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12</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12"/>
                <w:rFonts w:hint="eastAsia" w:asciiTheme="minorEastAsia" w:hAnsiTheme="minorEastAsia" w:eastAsiaTheme="minorEastAsia" w:cstheme="minorEastAsia"/>
                <w:color w:val="000000"/>
                <w:sz w:val="18"/>
                <w:szCs w:val="18"/>
                <w:highlight w:val="none"/>
                <w:lang w:val="en-US" w:eastAsia="zh-CN" w:bidi="ar"/>
              </w:rPr>
            </w:pPr>
            <w:r>
              <w:rPr>
                <w:rStyle w:val="12"/>
                <w:rFonts w:hint="eastAsia" w:asciiTheme="minorEastAsia" w:hAnsiTheme="minorEastAsia" w:eastAsiaTheme="minorEastAsia" w:cstheme="minorEastAsia"/>
                <w:color w:val="000000"/>
                <w:sz w:val="18"/>
                <w:szCs w:val="18"/>
                <w:highlight w:val="none"/>
                <w:lang w:val="en-US" w:eastAsia="zh-CN" w:bidi="ar"/>
              </w:rPr>
              <w:t>硫酸瑞美吉泮</w:t>
            </w:r>
          </w:p>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12"/>
                <w:rFonts w:hint="eastAsia" w:asciiTheme="minorEastAsia" w:hAnsiTheme="minorEastAsia" w:eastAsiaTheme="minorEastAsia" w:cstheme="minorEastAsia"/>
                <w:color w:val="000000"/>
                <w:sz w:val="18"/>
                <w:szCs w:val="18"/>
                <w:highlight w:val="none"/>
                <w:lang w:val="en-US" w:eastAsia="zh-CN" w:bidi="ar"/>
              </w:rPr>
              <w:t>口崩片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Rimegepant</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both"/>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对每月至少有4次偏头痛发作的成人进行发作性偏头痛的预防性治疗。</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PFIZER CORPORATION HONG KONG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75mg/片（以瑞美吉泮计）</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8片/盒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13</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阿扎胞苷片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Azacitidine</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适用于在强化诱导化疗后首次完全缓解（CR）或完全缓解伴血细胞计数未完全恢复（CRi）且无法完成强化治愈性治疗的成人急性髓系白血病患者的持续治疗。</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BRISTOL-MYERS SQUIBB PHARMA (HK) LTD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200mg</w:t>
            </w:r>
            <w:r>
              <w:rPr>
                <w:rStyle w:val="11"/>
                <w:rFonts w:hint="eastAsia" w:asciiTheme="minorEastAsia" w:hAnsiTheme="minorEastAsia" w:eastAsiaTheme="minorEastAsia" w:cstheme="minorEastAsia"/>
                <w:color w:val="000000"/>
                <w:sz w:val="18"/>
                <w:szCs w:val="18"/>
                <w:highlight w:val="none"/>
                <w:lang w:val="en-US" w:eastAsia="zh-CN" w:bidi="ar"/>
              </w:rPr>
              <w:t>；</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300mg</w:t>
            </w:r>
            <w:r>
              <w:rPr>
                <w:rStyle w:val="11"/>
                <w:rFonts w:hint="eastAsia" w:asciiTheme="minorEastAsia" w:hAnsiTheme="minorEastAsia" w:eastAsiaTheme="minorEastAsia" w:cstheme="minorEastAsia"/>
                <w:color w:val="000000"/>
                <w:sz w:val="18"/>
                <w:szCs w:val="18"/>
                <w:highlight w:val="none"/>
                <w:lang w:val="en-US" w:eastAsia="zh-CN" w:bidi="ar"/>
              </w:rPr>
              <w:t>。</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w:t>
            </w:r>
            <w:r>
              <w:rPr>
                <w:rStyle w:val="11"/>
                <w:rFonts w:hint="eastAsia" w:asciiTheme="minorEastAsia" w:hAnsiTheme="minorEastAsia" w:eastAsiaTheme="minorEastAsia" w:cstheme="minorEastAsia"/>
                <w:color w:val="000000"/>
                <w:sz w:val="18"/>
                <w:szCs w:val="18"/>
                <w:highlight w:val="none"/>
                <w:lang w:val="en-US" w:eastAsia="zh-CN" w:bidi="ar"/>
              </w:rPr>
              <w:t>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r>
              <w:rPr>
                <w:rStyle w:val="11"/>
                <w:rFonts w:hint="eastAsia" w:asciiTheme="minorEastAsia" w:hAnsiTheme="minorEastAsia" w:eastAsiaTheme="minorEastAsia" w:cstheme="minorEastAsia"/>
                <w:color w:val="000000"/>
                <w:sz w:val="18"/>
                <w:szCs w:val="18"/>
                <w:highlight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14</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曲美木单抗</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Tremelimumab-actl</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联合度伐利尤单抗，用于治疗不可切除的肝细胞癌(uHCC)成人患者。</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AstraZeneca AB</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300mg/15ml（20mg/ml）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15</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pacing w:val="-11"/>
                <w:sz w:val="18"/>
                <w:szCs w:val="18"/>
                <w:highlight w:val="none"/>
                <w:lang w:val="en-US" w:eastAsia="zh-CN" w:bidi="ar"/>
              </w:rPr>
              <w:t>阿司福酶</w:t>
            </w:r>
            <w:r>
              <w:rPr>
                <w:rStyle w:val="13"/>
                <w:rFonts w:hint="eastAsia" w:asciiTheme="minorEastAsia" w:hAnsiTheme="minorEastAsia" w:eastAsiaTheme="minorEastAsia" w:cstheme="minorEastAsia"/>
                <w:color w:val="000000"/>
                <w:spacing w:val="-11"/>
                <w:sz w:val="18"/>
                <w:szCs w:val="18"/>
                <w:highlight w:val="none"/>
                <w:lang w:val="en-US" w:eastAsia="zh-CN" w:bidi="ar"/>
              </w:rPr>
              <w:t>α</w:t>
            </w:r>
            <w:r>
              <w:rPr>
                <w:rStyle w:val="9"/>
                <w:rFonts w:hint="eastAsia" w:asciiTheme="minorEastAsia" w:hAnsiTheme="minorEastAsia" w:eastAsiaTheme="minorEastAsia" w:cstheme="minorEastAsia"/>
                <w:color w:val="000000"/>
                <w:spacing w:val="-11"/>
                <w:sz w:val="18"/>
                <w:szCs w:val="18"/>
                <w:highlight w:val="none"/>
                <w:lang w:val="en-US" w:eastAsia="zh-CN" w:bidi="ar"/>
              </w:rPr>
              <w:t>注射液</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Asfotase alfa</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本药品适用于作为婴儿期发病的低磷酸酯酶症患者的长期酶替代疗法，以治疗该疾病的骨骼表现。</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ASTRAZENECA HONG KONG LTD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40mg/1ml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12瓶/盒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16</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阿伏利尤单抗</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Anifrolumab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该药适用于接受标准治疗但仍然为中度至重度活动性、自身抗体阳性系统性红斑狼疮(SLE)成人患者的附加疗法。</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ASTRAZENECA HONG KONG LTD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300mg/2mL（150mg/mL）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17</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特泽利尤单抗</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Tezepelumab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该药适用于作为患有严重哮喘的成人和12岁及以上的青少年的附加维持治疗，该等患者尽管使用高剂量吸入性皮质类固醇和另一种药物进行维持治疗，仍不能充分控制哮喘。</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ASTRAZENECA HONG KONG LTD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210mg/1.91mL（110mg/mL）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spacing w:val="-6"/>
                <w:kern w:val="0"/>
                <w:sz w:val="18"/>
                <w:szCs w:val="18"/>
                <w:highlight w:val="none"/>
                <w:u w:val="none"/>
                <w:lang w:val="en-US" w:eastAsia="zh-CN" w:bidi="ar"/>
              </w:rPr>
              <w:t>1支预填充式注射笔/盒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18</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重组人促卵泡素</w:t>
            </w:r>
            <w:r>
              <w:rPr>
                <w:rStyle w:val="13"/>
                <w:rFonts w:hint="eastAsia" w:asciiTheme="minorEastAsia" w:hAnsiTheme="minorEastAsia" w:eastAsiaTheme="minorEastAsia" w:cstheme="minorEastAsia"/>
                <w:color w:val="000000"/>
                <w:sz w:val="18"/>
                <w:szCs w:val="18"/>
                <w:highlight w:val="none"/>
                <w:lang w:val="en-US" w:eastAsia="zh-CN" w:bidi="ar"/>
              </w:rPr>
              <w:t>α/</w:t>
            </w:r>
            <w:r>
              <w:rPr>
                <w:rStyle w:val="9"/>
                <w:rFonts w:hint="eastAsia" w:asciiTheme="minorEastAsia" w:hAnsiTheme="minorEastAsia" w:eastAsiaTheme="minorEastAsia" w:cstheme="minorEastAsia"/>
                <w:color w:val="000000"/>
                <w:sz w:val="18"/>
                <w:szCs w:val="18"/>
                <w:highlight w:val="none"/>
                <w:lang w:val="en-US" w:eastAsia="zh-CN" w:bidi="ar"/>
              </w:rPr>
              <w:t>促黄体素</w:t>
            </w:r>
            <w:r>
              <w:rPr>
                <w:rStyle w:val="13"/>
                <w:rFonts w:hint="eastAsia" w:asciiTheme="minorEastAsia" w:hAnsiTheme="minorEastAsia" w:eastAsiaTheme="minorEastAsia" w:cstheme="minorEastAsia"/>
                <w:color w:val="000000"/>
                <w:sz w:val="18"/>
                <w:szCs w:val="18"/>
                <w:highlight w:val="none"/>
                <w:lang w:val="en-US" w:eastAsia="zh-CN" w:bidi="ar"/>
              </w:rPr>
              <w:t>α</w:t>
            </w:r>
            <w:r>
              <w:rPr>
                <w:rStyle w:val="9"/>
                <w:rFonts w:hint="eastAsia" w:asciiTheme="minorEastAsia" w:hAnsiTheme="minorEastAsia" w:eastAsiaTheme="minorEastAsia" w:cstheme="minorEastAsia"/>
                <w:color w:val="000000"/>
                <w:sz w:val="18"/>
                <w:szCs w:val="18"/>
                <w:highlight w:val="none"/>
                <w:lang w:val="en-US" w:eastAsia="zh-CN" w:bidi="ar"/>
              </w:rPr>
              <w:t>注射液</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Follitropin alfa/Lutropin alfa</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该药适用于严重缺乏LH(促黄体生成素)和FSH(促卵泡生成素)的成年女性患者(内源性血清LH水平&lt;1.2IU/L的患者)以刺激卵泡发育。</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MERCK PHARMACEUTICAL(HK)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450IU/225IU，0.72mL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1支预充式注射笔/盒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19</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注射用重组人促卵泡素</w:t>
            </w:r>
            <w:r>
              <w:rPr>
                <w:rStyle w:val="13"/>
                <w:rFonts w:hint="eastAsia" w:asciiTheme="minorEastAsia" w:hAnsiTheme="minorEastAsia" w:eastAsiaTheme="minorEastAsia" w:cstheme="minorEastAsia"/>
                <w:color w:val="000000"/>
                <w:sz w:val="18"/>
                <w:szCs w:val="18"/>
                <w:highlight w:val="none"/>
                <w:lang w:val="en-US" w:eastAsia="zh-CN" w:bidi="ar"/>
              </w:rPr>
              <w:t>α/</w:t>
            </w:r>
            <w:r>
              <w:rPr>
                <w:rStyle w:val="9"/>
                <w:rFonts w:hint="eastAsia" w:asciiTheme="minorEastAsia" w:hAnsiTheme="minorEastAsia" w:eastAsiaTheme="minorEastAsia" w:cstheme="minorEastAsia"/>
                <w:color w:val="000000"/>
                <w:sz w:val="18"/>
                <w:szCs w:val="18"/>
                <w:highlight w:val="none"/>
                <w:lang w:val="en-US" w:eastAsia="zh-CN" w:bidi="ar"/>
              </w:rPr>
              <w:t>促黄体素</w:t>
            </w:r>
            <w:r>
              <w:rPr>
                <w:rStyle w:val="13"/>
                <w:rFonts w:hint="eastAsia" w:asciiTheme="minorEastAsia" w:hAnsiTheme="minorEastAsia" w:eastAsiaTheme="minorEastAsia" w:cstheme="minorEastAsia"/>
                <w:color w:val="000000"/>
                <w:sz w:val="18"/>
                <w:szCs w:val="18"/>
                <w:highlight w:val="none"/>
                <w:lang w:val="en-US" w:eastAsia="zh-CN" w:bidi="ar"/>
              </w:rPr>
              <w:t>α</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Follitropin alfa/Lutropin alfa</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该药适用于严重缺乏LH(促黄体生成素)和FSH(促卵泡生成素)的成年女性患者(内源性血清LH水平&lt;1.2IU/L的患者)以刺激卵泡发育。</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MERCK PHARMACEUTICAL(HK)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150 IU/75 IU</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1瓶粉末和1瓶溶剂/盒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20</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艾普奈珠单抗</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Eptinezumab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该药适用于每月至少有4天偏头痛发作的成人预防偏头痛。</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LUNDBECK HK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100mg/1mL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1ml/瓶，1瓶/盒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21</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color w:val="000000"/>
                <w:kern w:val="0"/>
                <w:sz w:val="18"/>
                <w:szCs w:val="18"/>
                <w:highlight w:val="none"/>
              </w:rPr>
            </w:pPr>
            <w:r>
              <w:rPr>
                <w:rStyle w:val="9"/>
                <w:rFonts w:hint="eastAsia" w:asciiTheme="minorEastAsia" w:hAnsiTheme="minorEastAsia" w:eastAsiaTheme="minorEastAsia" w:cstheme="minorEastAsia"/>
                <w:color w:val="000000"/>
                <w:sz w:val="18"/>
                <w:szCs w:val="18"/>
                <w:highlight w:val="none"/>
                <w:lang w:val="en-US" w:eastAsia="zh-CN" w:bidi="ar"/>
              </w:rPr>
              <w:t>伊曲莫德片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Etrasimod</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该药适用于治疗传统疗法或生物制剂应答不足、失应答或不耐受的16岁及以上中重度活动性溃疡性结肠炎(UC)患者。</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Everest Medicines (Singapore) Pte. Ltd.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2mg/片</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30片/瓶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22</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依洛硫酸酯酶α注射液</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Elosulfase alfa</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该药适用于IVA型黏多糖贮积症患者（MPS IVA型，Morquio A综合症）。</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BIOMARIN PHARMACEUTICAL INC.</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5mg/5mL</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Style w:val="14"/>
                <w:rFonts w:hint="eastAsia" w:asciiTheme="minorEastAsia" w:hAnsiTheme="minorEastAsia" w:eastAsiaTheme="minorEastAsia" w:cstheme="minorEastAsia"/>
                <w:color w:val="000000"/>
                <w:sz w:val="18"/>
                <w:szCs w:val="18"/>
                <w:highlight w:val="none"/>
                <w:lang w:val="en-US" w:eastAsia="zh-CN" w:bidi="ar"/>
              </w:rPr>
              <w:t>（</w:t>
            </w:r>
            <w:r>
              <w:rPr>
                <w:rStyle w:val="15"/>
                <w:rFonts w:hint="eastAsia" w:asciiTheme="minorEastAsia" w:hAnsiTheme="minorEastAsia" w:eastAsiaTheme="minorEastAsia" w:cstheme="minorEastAsia"/>
                <w:color w:val="000000"/>
                <w:sz w:val="18"/>
                <w:szCs w:val="18"/>
                <w:highlight w:val="none"/>
                <w:lang w:val="en-US" w:eastAsia="zh-CN" w:bidi="ar"/>
              </w:rPr>
              <w:t>1mg/1mL</w:t>
            </w:r>
            <w:r>
              <w:rPr>
                <w:rStyle w:val="14"/>
                <w:rFonts w:hint="eastAsia" w:asciiTheme="minorEastAsia" w:hAnsiTheme="minorEastAsia" w:eastAsiaTheme="minorEastAsia" w:cstheme="minorEastAsia"/>
                <w:color w:val="000000"/>
                <w:sz w:val="18"/>
                <w:szCs w:val="18"/>
                <w:highlight w:val="none"/>
                <w:lang w:val="en-US" w:eastAsia="zh-CN" w:bidi="ar"/>
              </w:rPr>
              <w:t>）</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23</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维替索妥尤单抗</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Tisotumab vedotin</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本品是一种靶向组织因子的抗体和抗微管药物的偶联药物，适用于治疗化疗期间或化疗后出现疾病进展的复发或转移性宫颈癌成人患者。</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Seagen Inc.</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40mg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24</w:t>
            </w:r>
          </w:p>
        </w:tc>
        <w:tc>
          <w:tcPr>
            <w:tcW w:w="1533" w:type="dxa"/>
            <w:vAlign w:val="center"/>
          </w:tcPr>
          <w:p>
            <w:pPr>
              <w:keepNext w:val="0"/>
              <w:widowControl/>
              <w:autoSpaceDE/>
              <w:autoSpaceDN/>
              <w:adjustRightInd/>
              <w:snapToGrid w:val="0"/>
              <w:spacing w:line="280" w:lineRule="exact"/>
              <w:ind w:left="0" w:leftChars="0" w:right="0" w:rightChars="0" w:firstLine="0" w:firstLineChars="0"/>
              <w:jc w:val="center"/>
              <w:textAlignment w:val="center"/>
              <w:rPr>
                <w:rFonts w:hint="eastAsia" w:asciiTheme="minorEastAsia" w:hAnsiTheme="minorEastAsia" w:eastAsiaTheme="minorEastAsia" w:cstheme="minorEastAsia"/>
                <w:color w:val="000000"/>
                <w:sz w:val="18"/>
                <w:szCs w:val="18"/>
                <w:highlight w:val="none"/>
                <w:lang w:val="en-US" w:eastAsia="zh-CN" w:bidi="ar-SA"/>
              </w:rPr>
            </w:pPr>
            <w:r>
              <w:rPr>
                <w:rStyle w:val="12"/>
                <w:rFonts w:asciiTheme="minorEastAsia" w:hAnsiTheme="minorEastAsia" w:eastAsiaTheme="minorEastAsia" w:cstheme="minorEastAsia"/>
                <w:color w:val="000000"/>
                <w:sz w:val="18"/>
                <w:szCs w:val="18"/>
                <w:highlight w:val="none"/>
                <w:lang w:bidi="ar"/>
              </w:rPr>
              <w:t>布西珠单抗</w:t>
            </w:r>
          </w:p>
        </w:tc>
        <w:tc>
          <w:tcPr>
            <w:tcW w:w="2320" w:type="dxa"/>
            <w:vAlign w:val="center"/>
          </w:tcPr>
          <w:p>
            <w:pPr>
              <w:keepNext w:val="0"/>
              <w:widowControl/>
              <w:autoSpaceDE/>
              <w:autoSpaceDN/>
              <w:adjustRightInd/>
              <w:snapToGrid w:val="0"/>
              <w:spacing w:line="280" w:lineRule="exact"/>
              <w:ind w:left="0" w:leftChars="0" w:right="0" w:rightChars="0" w:firstLine="0" w:firstLineChars="0"/>
              <w:jc w:val="center"/>
              <w:textAlignment w:val="top"/>
              <w:rPr>
                <w:rFonts w:hint="eastAsia" w:asciiTheme="minorEastAsia" w:hAnsiTheme="minorEastAsia" w:eastAsiaTheme="minorEastAsia" w:cstheme="minorEastAsia"/>
                <w:color w:val="000000"/>
                <w:sz w:val="18"/>
                <w:szCs w:val="18"/>
                <w:highlight w:val="none"/>
                <w:lang w:val="en-US" w:eastAsia="zh-CN" w:bidi="ar-SA"/>
              </w:rPr>
            </w:pPr>
            <w:r>
              <w:rPr>
                <w:rFonts w:hint="eastAsia" w:asciiTheme="minorEastAsia" w:hAnsiTheme="minorEastAsia" w:eastAsiaTheme="minorEastAsia" w:cstheme="minorEastAsia"/>
                <w:color w:val="000000"/>
                <w:sz w:val="18"/>
                <w:szCs w:val="18"/>
                <w:highlight w:val="none"/>
                <w:lang w:bidi="ar"/>
              </w:rPr>
              <w:t>Brolucizumab</w:t>
            </w:r>
          </w:p>
        </w:tc>
        <w:tc>
          <w:tcPr>
            <w:tcW w:w="3034" w:type="dxa"/>
            <w:vAlign w:val="center"/>
          </w:tcPr>
          <w:p>
            <w:pPr>
              <w:keepNext w:val="0"/>
              <w:widowControl/>
              <w:autoSpaceDE/>
              <w:autoSpaceDN/>
              <w:adjustRightInd/>
              <w:snapToGrid w:val="0"/>
              <w:spacing w:line="280" w:lineRule="exact"/>
              <w:ind w:left="0" w:leftChars="0" w:right="0" w:rightChars="0" w:firstLine="0" w:firstLineChars="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bidi="ar"/>
              </w:rPr>
              <w:t>湿性（新生血管性）黄斑变性（</w:t>
            </w:r>
            <w:r>
              <w:rPr>
                <w:rFonts w:hint="eastAsia" w:asciiTheme="minorEastAsia" w:hAnsiTheme="minorEastAsia" w:eastAsiaTheme="minorEastAsia" w:cstheme="minorEastAsia"/>
                <w:spacing w:val="-20"/>
                <w:sz w:val="18"/>
                <w:szCs w:val="18"/>
                <w:lang w:bidi="ar"/>
              </w:rPr>
              <w:t>wAMD/nAMD</w:t>
            </w:r>
            <w:r>
              <w:rPr>
                <w:rFonts w:hint="eastAsia" w:asciiTheme="minorEastAsia" w:hAnsiTheme="minorEastAsia" w:eastAsiaTheme="minorEastAsia" w:cstheme="minorEastAsia"/>
                <w:sz w:val="18"/>
                <w:szCs w:val="18"/>
                <w:lang w:bidi="ar"/>
              </w:rPr>
              <w:t>）</w:t>
            </w:r>
            <w:r>
              <w:rPr>
                <w:rFonts w:hint="eastAsia" w:asciiTheme="minorEastAsia" w:hAnsiTheme="minorEastAsia" w:eastAsiaTheme="minorEastAsia" w:cstheme="minorEastAsia"/>
                <w:sz w:val="18"/>
                <w:szCs w:val="18"/>
                <w:lang w:eastAsia="zh-CN" w:bidi="ar"/>
              </w:rPr>
              <w:t>。</w:t>
            </w:r>
          </w:p>
        </w:tc>
        <w:tc>
          <w:tcPr>
            <w:tcW w:w="2779" w:type="dxa"/>
            <w:vAlign w:val="center"/>
          </w:tcPr>
          <w:p>
            <w:pPr>
              <w:keepNext w:val="0"/>
              <w:widowControl/>
              <w:autoSpaceDE/>
              <w:autoSpaceDN/>
              <w:adjustRightInd/>
              <w:snapToGrid w:val="0"/>
              <w:spacing w:line="280" w:lineRule="exact"/>
              <w:ind w:left="0" w:leftChars="0" w:right="0" w:rightChars="0" w:firstLine="0" w:firstLineChars="0"/>
              <w:jc w:val="left"/>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z w:val="18"/>
                <w:szCs w:val="18"/>
                <w:highlight w:val="none"/>
                <w:lang w:bidi="ar"/>
              </w:rPr>
              <w:t>NOVARTIS PHARMACEUTICALS (HK) LIMITED</w:t>
            </w:r>
          </w:p>
        </w:tc>
        <w:tc>
          <w:tcPr>
            <w:tcW w:w="1520" w:type="dxa"/>
            <w:vAlign w:val="center"/>
          </w:tcPr>
          <w:p>
            <w:pPr>
              <w:keepNext w:val="0"/>
              <w:widowControl/>
              <w:autoSpaceDE/>
              <w:autoSpaceDN/>
              <w:adjustRightInd/>
              <w:snapToGrid w:val="0"/>
              <w:spacing w:line="280" w:lineRule="exact"/>
              <w:ind w:left="0" w:leftChars="0" w:right="0" w:rightChars="0" w:firstLine="0" w:firstLineChars="0"/>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z w:val="18"/>
                <w:szCs w:val="18"/>
                <w:highlight w:val="none"/>
                <w:lang w:bidi="ar"/>
              </w:rPr>
              <w:t>6mg/0.05ml</w:t>
            </w:r>
          </w:p>
        </w:tc>
        <w:tc>
          <w:tcPr>
            <w:tcW w:w="1930" w:type="dxa"/>
            <w:vAlign w:val="center"/>
          </w:tcPr>
          <w:p>
            <w:pPr>
              <w:keepNext w:val="0"/>
              <w:widowControl/>
              <w:autoSpaceDE/>
              <w:autoSpaceDN/>
              <w:adjustRightInd/>
              <w:snapToGrid w:val="0"/>
              <w:spacing w:line="280" w:lineRule="exact"/>
              <w:ind w:left="0" w:leftChars="0" w:right="0" w:rightChars="0" w:firstLine="0" w:firstLineChars="0"/>
              <w:jc w:val="left"/>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z w:val="18"/>
                <w:szCs w:val="18"/>
                <w:highlight w:val="none"/>
                <w:lang w:bidi="ar"/>
              </w:rPr>
              <w:t>1</w:t>
            </w:r>
            <w:r>
              <w:rPr>
                <w:rStyle w:val="11"/>
                <w:rFonts w:asciiTheme="minorEastAsia" w:hAnsiTheme="minorEastAsia" w:eastAsiaTheme="minorEastAsia" w:cstheme="minorEastAsia"/>
                <w:color w:val="000000"/>
                <w:sz w:val="18"/>
                <w:szCs w:val="18"/>
                <w:highlight w:val="none"/>
                <w:lang w:bidi="ar"/>
              </w:rPr>
              <w:t>支</w:t>
            </w:r>
            <w:r>
              <w:rPr>
                <w:rFonts w:hint="eastAsia" w:asciiTheme="minorEastAsia" w:hAnsiTheme="minorEastAsia" w:eastAsiaTheme="minorEastAsia" w:cstheme="minorEastAsia"/>
                <w:color w:val="000000"/>
                <w:sz w:val="18"/>
                <w:szCs w:val="18"/>
                <w:highlight w:val="none"/>
                <w:lang w:bidi="ar"/>
              </w:rPr>
              <w:t>/</w:t>
            </w:r>
            <w:r>
              <w:rPr>
                <w:rStyle w:val="11"/>
                <w:rFonts w:asciiTheme="minorEastAsia" w:hAnsiTheme="minorEastAsia" w:eastAsiaTheme="minorEastAsia" w:cstheme="minorEastAsia"/>
                <w:color w:val="000000"/>
                <w:sz w:val="18"/>
                <w:szCs w:val="18"/>
                <w:highlight w:val="none"/>
                <w:lang w:bidi="ar"/>
              </w:rPr>
              <w:t>盒（预充式注射器）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25</w:t>
            </w:r>
          </w:p>
        </w:tc>
        <w:tc>
          <w:tcPr>
            <w:tcW w:w="1533" w:type="dxa"/>
            <w:vAlign w:val="center"/>
          </w:tcPr>
          <w:p>
            <w:pPr>
              <w:keepNext w:val="0"/>
              <w:widowControl/>
              <w:autoSpaceDE/>
              <w:autoSpaceDN/>
              <w:adjustRightInd/>
              <w:snapToGrid w:val="0"/>
              <w:spacing w:line="300" w:lineRule="exact"/>
              <w:ind w:left="0" w:leftChars="0" w:right="0" w:rightChars="0" w:firstLine="0" w:firstLineChars="0"/>
              <w:jc w:val="center"/>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Style w:val="9"/>
                <w:rFonts w:asciiTheme="minorEastAsia" w:hAnsiTheme="minorEastAsia" w:eastAsiaTheme="minorEastAsia" w:cstheme="minorEastAsia"/>
                <w:color w:val="000000"/>
                <w:spacing w:val="-11"/>
                <w:sz w:val="18"/>
                <w:szCs w:val="18"/>
                <w:highlight w:val="none"/>
                <w:lang w:bidi="ar"/>
              </w:rPr>
              <w:t>伊匹木单抗注射液</w:t>
            </w:r>
          </w:p>
        </w:tc>
        <w:tc>
          <w:tcPr>
            <w:tcW w:w="2320" w:type="dxa"/>
            <w:vAlign w:val="center"/>
          </w:tcPr>
          <w:p>
            <w:pPr>
              <w:keepNext w:val="0"/>
              <w:widowControl/>
              <w:autoSpaceDE/>
              <w:autoSpaceDN/>
              <w:adjustRightInd/>
              <w:snapToGrid w:val="0"/>
              <w:spacing w:line="300" w:lineRule="exact"/>
              <w:ind w:left="0" w:leftChars="0" w:right="0" w:rightChars="0" w:firstLine="0" w:firstLineChars="0"/>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z w:val="18"/>
                <w:szCs w:val="18"/>
                <w:highlight w:val="none"/>
                <w:lang w:bidi="ar"/>
              </w:rPr>
              <w:t>Ipilimumab</w:t>
            </w:r>
          </w:p>
        </w:tc>
        <w:tc>
          <w:tcPr>
            <w:tcW w:w="3034" w:type="dxa"/>
            <w:vAlign w:val="center"/>
          </w:tcPr>
          <w:p>
            <w:pPr>
              <w:keepNext w:val="0"/>
              <w:widowControl/>
              <w:autoSpaceDE/>
              <w:autoSpaceDN/>
              <w:adjustRightInd/>
              <w:snapToGrid w:val="0"/>
              <w:spacing w:line="300" w:lineRule="exact"/>
              <w:ind w:left="0" w:leftChars="0" w:right="0" w:rightChars="0" w:firstLine="0" w:firstLineChars="0"/>
              <w:jc w:val="left"/>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sz w:val="18"/>
                <w:szCs w:val="18"/>
                <w:lang w:bidi="ar"/>
              </w:rPr>
              <w:t>恶性黑色素瘤、肾癌</w:t>
            </w:r>
            <w:r>
              <w:rPr>
                <w:rFonts w:hint="eastAsia" w:asciiTheme="minorEastAsia" w:hAnsiTheme="minorEastAsia" w:eastAsiaTheme="minorEastAsia" w:cstheme="minorEastAsia"/>
                <w:sz w:val="18"/>
                <w:szCs w:val="18"/>
                <w:lang w:eastAsia="zh-CN" w:bidi="ar"/>
              </w:rPr>
              <w:t>。</w:t>
            </w:r>
          </w:p>
        </w:tc>
        <w:tc>
          <w:tcPr>
            <w:tcW w:w="2779" w:type="dxa"/>
            <w:vAlign w:val="center"/>
          </w:tcPr>
          <w:p>
            <w:pPr>
              <w:keepNext w:val="0"/>
              <w:widowControl/>
              <w:autoSpaceDE/>
              <w:autoSpaceDN/>
              <w:adjustRightInd/>
              <w:snapToGrid w:val="0"/>
              <w:spacing w:line="300" w:lineRule="exact"/>
              <w:ind w:left="0" w:leftChars="0" w:right="0" w:rightChars="0" w:firstLine="0" w:firstLineChars="0"/>
              <w:jc w:val="left"/>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z w:val="18"/>
                <w:szCs w:val="18"/>
                <w:highlight w:val="none"/>
                <w:lang w:bidi="ar"/>
              </w:rPr>
              <w:t>BRISTOL-MYERS SQUIBB PHARMA (HK) LTD</w:t>
            </w:r>
          </w:p>
        </w:tc>
        <w:tc>
          <w:tcPr>
            <w:tcW w:w="1520" w:type="dxa"/>
            <w:vAlign w:val="center"/>
          </w:tcPr>
          <w:p>
            <w:pPr>
              <w:keepNext w:val="0"/>
              <w:widowControl/>
              <w:autoSpaceDE/>
              <w:autoSpaceDN/>
              <w:adjustRightInd/>
              <w:snapToGrid w:val="0"/>
              <w:spacing w:line="300" w:lineRule="exact"/>
              <w:ind w:left="0" w:leftChars="0" w:right="0" w:rightChars="0" w:firstLine="0" w:firstLineChars="0"/>
              <w:jc w:val="center"/>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z w:val="18"/>
                <w:szCs w:val="18"/>
                <w:highlight w:val="none"/>
                <w:lang w:bidi="ar"/>
              </w:rPr>
              <w:t>50mg/10ml</w:t>
            </w:r>
          </w:p>
        </w:tc>
        <w:tc>
          <w:tcPr>
            <w:tcW w:w="1930" w:type="dxa"/>
            <w:vAlign w:val="center"/>
          </w:tcPr>
          <w:p>
            <w:pPr>
              <w:keepNext w:val="0"/>
              <w:widowControl/>
              <w:autoSpaceDE/>
              <w:autoSpaceDN/>
              <w:adjustRightInd/>
              <w:snapToGrid w:val="0"/>
              <w:spacing w:line="300" w:lineRule="exact"/>
              <w:ind w:left="0" w:leftChars="0" w:right="0" w:rightChars="0" w:firstLine="0" w:firstLineChars="0"/>
              <w:jc w:val="left"/>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z w:val="18"/>
                <w:szCs w:val="18"/>
                <w:highlight w:val="none"/>
                <w:lang w:bidi="ar"/>
              </w:rPr>
              <w:t>1支/盒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26</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spacing w:val="-11"/>
                <w:kern w:val="0"/>
                <w:sz w:val="18"/>
                <w:szCs w:val="18"/>
                <w:highlight w:val="none"/>
                <w:u w:val="none"/>
                <w:lang w:val="en-US" w:eastAsia="zh-CN" w:bidi="ar"/>
              </w:rPr>
              <w:t>尘螨变应原舌下片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该药适用于治疗成人和青少年（12-65岁）的过敏性鼻炎（鼻粘膜炎症）以及成人（18-65岁）的尘螨相关过敏性哮喘。</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ALK-Abelló A/S</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12 SQ-HDM</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30片/盒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27</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艾拉司群片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Elacestrant</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适用于治疗既往至少一线内分泌治疗后发生疾病进展的雌激素受体(ER)阳性、人表皮生长因子受体2(HER2)阴性、ESRI突变的晚期或转移性乳腺癌绝经后女性或成年男性。</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Stemline Therapeutics, Inc.</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345mg；86mg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30片/瓶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28</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德戈替尼乳膏</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Delgocitinib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适用于对皮质类固醇治疗应答不充分或不适合接受皮质类固醇治疗的成人中重度慢性手部湿疹患者的局部治疗</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LEO Pharma A/S</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20mg/g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15g/支, 1支/盒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29</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狗上皮（家犬）</w:t>
            </w:r>
            <w:r>
              <w:rPr>
                <w:rFonts w:hint="eastAsia" w:asciiTheme="minorEastAsia" w:hAnsiTheme="minorEastAsia" w:eastAsiaTheme="minorEastAsia" w:cstheme="minorEastAsia"/>
                <w:i w:val="0"/>
                <w:iCs w:val="0"/>
                <w:color w:val="000000"/>
                <w:spacing w:val="-11"/>
                <w:kern w:val="0"/>
                <w:sz w:val="18"/>
                <w:szCs w:val="18"/>
                <w:highlight w:val="none"/>
                <w:u w:val="none"/>
                <w:lang w:val="en-US" w:eastAsia="zh-CN" w:bidi="ar"/>
              </w:rPr>
              <w:t>变应原舌下喷雾剂</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成人和5岁以上儿童，用于治疗经皮肤点刺试验和/或特异性IgE试验诊断的狗上皮过敏原引起的I型过敏性呼吸系统疾病（IgE介导）</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INMUNOTEK,S.L.</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9mL/瓶，含狗上皮（家犬）变应原提取物30000TU/ml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30</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猫上皮(家猫)变应原舌下喷雾剂</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成人和5岁以上儿童，用于治疗经皮肤点刺试验和/或特异性IgE试验诊断的猫上皮过敏原引起的I型过敏性呼吸系统疾病（IgE介导）</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INMUNOTEK,S.L.</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9mL/瓶，含猫上皮（家猫）变应原提取物30000TU/ml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31</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马塔西单抗</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marstacimab-hncq</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适用于患有以下疾病的12 岁及以上成人和儿童患者进行常规预防性治疗，以预防或减少出血发作的频率:</w:t>
            </w:r>
          </w:p>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无凝血因子VIII 抑制物的轻型及中间型A 型血友病(先天性凝血因子 VIII 缺乏症，FVIII&gt;=1%)患者</w:t>
            </w:r>
          </w:p>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或无凝血因子IX 抑制物的轻型及中间型B 型血友病(先天性凝血因子 IX 缺乏 症,FIX&gt;=1%)患者。</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Pfizer Inc.</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150mg/mL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1支预充式注射笔/盒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32</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双螨变应原舌下喷雾剂</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适用于成人和5岁以上儿童，用于治疗经皮肤点刺试验和/或特异性IgE试验诊断的屋尘螨和/或粉尘螨过敏原引起的I型过敏性呼吸系统疾病（IgE介导），例如过敏性鼻炎、过敏性结膜炎和/或过敏性鼻结膜炎伴或不伴支气管哮喘。</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INMUNOTEK,S.L.</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9mL/瓶，含屋尘螨变应原提取物15000 TU/ml与粉尘螨变应原提取物15000 TU/ml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33</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伊维菌素乳膏</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Ivermectin</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成人患者玫瑰痤疮（丘疹脓疱型）炎性皮损的局部治疗。</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GALDERMA HONG KONG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10mg/g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30g/支，1支/盒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34</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戈硫酯酶注射液</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Galsulfase</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适用于黏多糖贮积症VI型(MPS VI, Maroteaux-Lamy综合征)患者.</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BIOMARIN PHARMACEUTICAL INC.</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5mg/5mL （1mg/1mL）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35</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color w:val="000000"/>
                <w:sz w:val="18"/>
                <w:szCs w:val="18"/>
                <w:highlight w:val="none"/>
                <w:lang w:bidi="ar"/>
              </w:rPr>
              <w:t>非唑奈坦片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Fezolinetant</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用于治疗绝经相关的中度至重度血管舒缩症状（VMS）</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ASTELLAS PHARMA HONG KONG COMPANY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45mg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30片/盒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36</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注射用伏索利肽</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Vosoritide</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适用于4个月及以上骨骺未闭合的软骨发育不全患者。软骨发育不全的诊断应通过适当的基因检测来证实。</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BIOMARIN PHARMACEUTICAL INC.</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0.4mg/瓶；0.56mg/瓶；1.2mg/瓶</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每盒包含：10瓶注射用无菌粉末，10支预充式注射用水注射器，10支一次性独立针头，10支一次性独立注射器。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37</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注射用美罗培南法硼巴坦</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Meropenem；</w:t>
            </w:r>
          </w:p>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Vaborbactam</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本品适用于治疗具有以下感染的成年患者：1、复杂性尿路感染(cUTI)，包括肾盂肾炎；2、复杂性腹腔感染(cIAI)； 3、医院获得性肺炎(HAP)，包括呼吸机相关肺炎(VAP)； 4、治疗与上述任何感染相关或疑似相关的菌血症患者；治疗选择有限的患者中，因需氧革兰氏阴性菌引起的感染(应参照抗生素合理应用的官方指南)。</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 Menarini Hong Kong Limited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每瓶含1g美罗培南（以美罗培南三水合物计）和1g法硼巴坦</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2g/瓶，6瓶/盒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38</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恩司芬群吸入</w:t>
            </w:r>
          </w:p>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混悬液</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Ensifentrine</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适用于成人慢性阻塞性肺疾病（COPD）患者的维持治疗。</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Verona Pharma, Inc.</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3mg/2.5ml</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60支/盒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39</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伏昔尼布片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Vorasidenib</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用于在手术后治疗患有某些类型的脑癌(低级别星形细胞瘤或少突胶质细胞瘤)、且携带一种异常基因(称为“IDH1”或“IDH2”)的成年人和青少年(12岁及以上)。</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Servier Canada Inc.</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规格1：40mg</w:t>
            </w:r>
          </w:p>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规格2：10mg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30片/瓶，1瓶/盒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40</w:t>
            </w:r>
          </w:p>
        </w:tc>
        <w:tc>
          <w:tcPr>
            <w:tcW w:w="1533"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pacing w:val="-11"/>
                <w:kern w:val="0"/>
                <w:sz w:val="18"/>
                <w:szCs w:val="18"/>
                <w:highlight w:val="none"/>
              </w:rPr>
              <w:t>伊洛前列素注射液</w:t>
            </w:r>
          </w:p>
        </w:tc>
        <w:tc>
          <w:tcPr>
            <w:tcW w:w="2320"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ILOPROST SOLUTION FOR INFUSION</w:t>
            </w:r>
          </w:p>
        </w:tc>
        <w:tc>
          <w:tcPr>
            <w:tcW w:w="3034"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Theme="minorEastAsia" w:hAnsiTheme="minorEastAsia" w:eastAsiaTheme="minorEastAsia" w:cstheme="minorEastAsia"/>
                <w:color w:val="000000"/>
                <w:kern w:val="0"/>
                <w:sz w:val="18"/>
                <w:szCs w:val="18"/>
                <w:highlight w:val="none"/>
              </w:rPr>
            </w:pPr>
            <w:r>
              <w:rPr>
                <w:rFonts w:hint="eastAsia" w:asciiTheme="minorEastAsia" w:hAnsiTheme="minorEastAsia" w:eastAsiaTheme="minorEastAsia" w:cstheme="minorEastAsia"/>
                <w:color w:val="000000"/>
                <w:kern w:val="0"/>
                <w:sz w:val="18"/>
                <w:szCs w:val="18"/>
                <w:highlight w:val="none"/>
                <w:lang w:eastAsia="zh-CN"/>
              </w:rPr>
              <w:t>（</w:t>
            </w:r>
            <w:r>
              <w:rPr>
                <w:rFonts w:hint="eastAsia" w:asciiTheme="minorEastAsia" w:hAnsiTheme="minorEastAsia" w:eastAsiaTheme="minorEastAsia" w:cstheme="minorEastAsia"/>
                <w:color w:val="000000"/>
                <w:kern w:val="0"/>
                <w:sz w:val="18"/>
                <w:szCs w:val="18"/>
                <w:highlight w:val="none"/>
                <w:lang w:val="en-US" w:eastAsia="zh-CN"/>
              </w:rPr>
              <w:t>1</w:t>
            </w:r>
            <w:r>
              <w:rPr>
                <w:rFonts w:hint="eastAsia" w:asciiTheme="minorEastAsia" w:hAnsiTheme="minorEastAsia" w:eastAsiaTheme="minorEastAsia" w:cstheme="minorEastAsia"/>
                <w:color w:val="000000"/>
                <w:kern w:val="0"/>
                <w:sz w:val="18"/>
                <w:szCs w:val="18"/>
                <w:highlight w:val="none"/>
                <w:lang w:eastAsia="zh-CN"/>
              </w:rPr>
              <w:t>）</w:t>
            </w:r>
            <w:r>
              <w:rPr>
                <w:rFonts w:hint="eastAsia" w:asciiTheme="minorEastAsia" w:hAnsiTheme="minorEastAsia" w:eastAsiaTheme="minorEastAsia" w:cstheme="minorEastAsia"/>
                <w:color w:val="000000"/>
                <w:kern w:val="0"/>
                <w:sz w:val="18"/>
                <w:szCs w:val="18"/>
                <w:highlight w:val="none"/>
              </w:rPr>
              <w:t>用于治疗患有严重外周动脉闭塞性疾病(PAOD)的患者，</w:t>
            </w:r>
            <w:r>
              <w:rPr>
                <w:rFonts w:hint="eastAsia" w:asciiTheme="minorEastAsia" w:hAnsiTheme="minorEastAsia" w:eastAsiaTheme="minorEastAsia" w:cstheme="minorEastAsia"/>
                <w:color w:val="000000"/>
                <w:kern w:val="0"/>
                <w:sz w:val="18"/>
                <w:szCs w:val="18"/>
                <w:highlight w:val="none"/>
                <w:lang w:val="en-US" w:eastAsia="zh-CN"/>
              </w:rPr>
              <w:t>仅限</w:t>
            </w:r>
            <w:r>
              <w:rPr>
                <w:rFonts w:hint="eastAsia" w:asciiTheme="minorEastAsia" w:hAnsiTheme="minorEastAsia" w:eastAsiaTheme="minorEastAsia" w:cstheme="minorEastAsia"/>
                <w:color w:val="000000"/>
                <w:kern w:val="0"/>
                <w:sz w:val="18"/>
                <w:szCs w:val="18"/>
                <w:highlight w:val="none"/>
              </w:rPr>
              <w:t>是存在截肢风险且无法进行手术或血管成形术的患者；</w:t>
            </w:r>
          </w:p>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eastAsia="zh-CN"/>
              </w:rPr>
              <w:t>（</w:t>
            </w:r>
            <w:r>
              <w:rPr>
                <w:rFonts w:hint="eastAsia" w:asciiTheme="minorEastAsia" w:hAnsiTheme="minorEastAsia" w:eastAsiaTheme="minorEastAsia" w:cstheme="minorEastAsia"/>
                <w:color w:val="000000"/>
                <w:kern w:val="0"/>
                <w:sz w:val="18"/>
                <w:szCs w:val="18"/>
                <w:highlight w:val="none"/>
                <w:lang w:val="en-US" w:eastAsia="zh-CN"/>
              </w:rPr>
              <w:t>2</w:t>
            </w:r>
            <w:r>
              <w:rPr>
                <w:rFonts w:hint="eastAsia" w:asciiTheme="minorEastAsia" w:hAnsiTheme="minorEastAsia" w:eastAsiaTheme="minorEastAsia" w:cstheme="minorEastAsia"/>
                <w:color w:val="000000"/>
                <w:kern w:val="0"/>
                <w:sz w:val="18"/>
                <w:szCs w:val="18"/>
                <w:highlight w:val="none"/>
                <w:lang w:eastAsia="zh-CN"/>
              </w:rPr>
              <w:t>）</w:t>
            </w:r>
            <w:r>
              <w:rPr>
                <w:rFonts w:hint="eastAsia" w:asciiTheme="minorEastAsia" w:hAnsiTheme="minorEastAsia" w:eastAsiaTheme="minorEastAsia" w:cstheme="minorEastAsia"/>
                <w:color w:val="000000"/>
                <w:kern w:val="0"/>
                <w:sz w:val="18"/>
                <w:szCs w:val="18"/>
                <w:highlight w:val="none"/>
              </w:rPr>
              <w:t>用于治疗无血运重建指征的晚期血栓闭塞性脉管炎(Buerger病)并伴严重肢体缺血的患者；</w:t>
            </w:r>
          </w:p>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eastAsia="zh-CN"/>
              </w:rPr>
              <w:t>（</w:t>
            </w:r>
            <w:r>
              <w:rPr>
                <w:rFonts w:hint="eastAsia" w:asciiTheme="minorEastAsia" w:hAnsiTheme="minorEastAsia" w:eastAsiaTheme="minorEastAsia" w:cstheme="minorEastAsia"/>
                <w:color w:val="000000"/>
                <w:kern w:val="0"/>
                <w:sz w:val="18"/>
                <w:szCs w:val="18"/>
                <w:highlight w:val="none"/>
                <w:lang w:val="en-US" w:eastAsia="zh-CN"/>
              </w:rPr>
              <w:t>3</w:t>
            </w:r>
            <w:r>
              <w:rPr>
                <w:rFonts w:hint="eastAsia" w:asciiTheme="minorEastAsia" w:hAnsiTheme="minorEastAsia" w:eastAsiaTheme="minorEastAsia" w:cstheme="minorEastAsia"/>
                <w:color w:val="000000"/>
                <w:kern w:val="0"/>
                <w:sz w:val="18"/>
                <w:szCs w:val="18"/>
                <w:highlight w:val="none"/>
                <w:lang w:eastAsia="zh-CN"/>
              </w:rPr>
              <w:t>）</w:t>
            </w:r>
            <w:r>
              <w:rPr>
                <w:rFonts w:hint="eastAsia" w:asciiTheme="minorEastAsia" w:hAnsiTheme="minorEastAsia" w:eastAsiaTheme="minorEastAsia" w:cstheme="minorEastAsia"/>
                <w:color w:val="000000"/>
                <w:kern w:val="0"/>
                <w:sz w:val="18"/>
                <w:szCs w:val="18"/>
                <w:highlight w:val="none"/>
              </w:rPr>
              <w:t>用于治疗对其他疗法无应答的严重致残性雷诺现象患者</w:t>
            </w:r>
            <w:r>
              <w:rPr>
                <w:rFonts w:hint="eastAsia" w:asciiTheme="minorEastAsia" w:hAnsiTheme="minorEastAsia" w:eastAsiaTheme="minorEastAsia" w:cstheme="minorEastAsia"/>
                <w:color w:val="000000"/>
                <w:kern w:val="0"/>
                <w:sz w:val="18"/>
                <w:szCs w:val="18"/>
                <w:highlight w:val="none"/>
                <w:lang w:eastAsia="zh-CN"/>
              </w:rPr>
              <w:t>。</w:t>
            </w:r>
          </w:p>
        </w:tc>
        <w:tc>
          <w:tcPr>
            <w:tcW w:w="2779"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T</w:t>
            </w:r>
            <w:r>
              <w:rPr>
                <w:rFonts w:hint="eastAsia" w:asciiTheme="minorEastAsia" w:hAnsiTheme="minorEastAsia" w:eastAsiaTheme="minorEastAsia" w:cstheme="minorEastAsia"/>
                <w:color w:val="000000"/>
                <w:kern w:val="0"/>
                <w:sz w:val="18"/>
                <w:szCs w:val="18"/>
                <w:highlight w:val="none"/>
                <w:lang w:val="en-US" w:eastAsia="zh-CN"/>
              </w:rPr>
              <w:t>he</w:t>
            </w:r>
            <w:r>
              <w:rPr>
                <w:rFonts w:hint="eastAsia" w:asciiTheme="minorEastAsia" w:hAnsiTheme="minorEastAsia" w:eastAsiaTheme="minorEastAsia" w:cstheme="minorEastAsia"/>
                <w:color w:val="000000"/>
                <w:kern w:val="0"/>
                <w:sz w:val="18"/>
                <w:szCs w:val="18"/>
                <w:highlight w:val="none"/>
              </w:rPr>
              <w:t xml:space="preserve"> G</w:t>
            </w:r>
            <w:r>
              <w:rPr>
                <w:rFonts w:hint="eastAsia" w:asciiTheme="minorEastAsia" w:hAnsiTheme="minorEastAsia" w:eastAsiaTheme="minorEastAsia" w:cstheme="minorEastAsia"/>
                <w:color w:val="000000"/>
                <w:kern w:val="0"/>
                <w:sz w:val="18"/>
                <w:szCs w:val="18"/>
                <w:highlight w:val="none"/>
                <w:lang w:val="en-US" w:eastAsia="zh-CN"/>
              </w:rPr>
              <w:t>lory</w:t>
            </w:r>
            <w:r>
              <w:rPr>
                <w:rFonts w:hint="eastAsia" w:asciiTheme="minorEastAsia" w:hAnsiTheme="minorEastAsia" w:eastAsiaTheme="minorEastAsia" w:cstheme="minorEastAsia"/>
                <w:color w:val="000000"/>
                <w:kern w:val="0"/>
                <w:sz w:val="18"/>
                <w:szCs w:val="18"/>
                <w:highlight w:val="none"/>
              </w:rPr>
              <w:t xml:space="preserve"> M</w:t>
            </w:r>
            <w:r>
              <w:rPr>
                <w:rFonts w:hint="eastAsia" w:asciiTheme="minorEastAsia" w:hAnsiTheme="minorEastAsia" w:eastAsiaTheme="minorEastAsia" w:cstheme="minorEastAsia"/>
                <w:color w:val="000000"/>
                <w:kern w:val="0"/>
                <w:sz w:val="18"/>
                <w:szCs w:val="18"/>
                <w:highlight w:val="none"/>
                <w:lang w:val="en-US" w:eastAsia="zh-CN"/>
              </w:rPr>
              <w:t>edicina limitada</w:t>
            </w:r>
          </w:p>
        </w:tc>
        <w:tc>
          <w:tcPr>
            <w:tcW w:w="1520"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pacing w:val="-6"/>
                <w:kern w:val="0"/>
                <w:sz w:val="18"/>
                <w:szCs w:val="18"/>
                <w:highlight w:val="none"/>
                <w:lang w:val="en-US" w:eastAsia="zh-CN"/>
              </w:rPr>
              <w:t>50mcg/0.5ml</w:t>
            </w:r>
          </w:p>
        </w:tc>
        <w:tc>
          <w:tcPr>
            <w:tcW w:w="1930"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1支/盒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41</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阿托吉泮片</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Atogepant tablets</w:t>
            </w:r>
          </w:p>
        </w:tc>
        <w:tc>
          <w:tcPr>
            <w:tcW w:w="3034"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适用于每月至少有4天偏头痛发作的成人患者，预防性治疗偏头痛。</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ABBVIE LIMITED (UNIT 2405-08 24/F AIA TOWER, 183 ELECTRIC ROAD NORTH POINT HONG KONG)</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60 mg</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28片/盒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42</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贝沙罗汀软胶囊</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Bexarotene</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rPr>
              <w:t>用于治疗既往至少一次全身治疗无效的皮肤T细胞淋巴瘤患者的皮肤症状。</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MINOPHAGEN PHARMACEUTICAL CO., LTD.</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75 mg/粒</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14粒/盒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43</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替度格鲁肽</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Teduglutide</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用于治疗儿童和青少年（4个月及以上）短肠综合征患者。</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Takeda Pharmaceuticals International AG Ireland Branch</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1.25mg/瓶</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28瓶/盒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44</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阿帕达酶α</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ADAMTS13, recombinant-krhn</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用于患有缺乏 ADAMTS13 蛋白酶的先天性血栓性血小板减少性紫斑症</w:t>
            </w:r>
            <w:r>
              <w:rPr>
                <w:rFonts w:hint="eastAsia" w:asciiTheme="minorEastAsia" w:hAnsiTheme="minorEastAsia" w:eastAsiaTheme="minorEastAsia" w:cstheme="minorEastAsia"/>
                <w:color w:val="000000"/>
                <w:kern w:val="0"/>
                <w:sz w:val="18"/>
                <w:szCs w:val="18"/>
                <w:highlight w:val="none"/>
                <w:lang w:eastAsia="zh-CN"/>
              </w:rPr>
              <w:t>。</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Takeda Manufacturing Austria AG</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1500IU</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每粉剂瓶含有1500IU的rADAMTS13标称活性，溶剂瓶含5毫升注射用水。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0" w:type="dxa"/>
            <w:vAlign w:val="center"/>
          </w:tcPr>
          <w:p>
            <w:pPr>
              <w:keepNext w:val="0"/>
              <w:keepLines w:val="0"/>
              <w:pageBreakBefore w:val="0"/>
              <w:kinsoku/>
              <w:wordWrap/>
              <w:overflowPunct/>
              <w:topLinePunct w:val="0"/>
              <w:autoSpaceDE/>
              <w:autoSpaceDN/>
              <w:bidi w:val="0"/>
              <w:adjustRightInd/>
              <w:snapToGrid w:val="0"/>
              <w:spacing w:line="300" w:lineRule="exact"/>
              <w:jc w:val="center"/>
              <w:rPr>
                <w:rFonts w:hint="eastAsia" w:asciiTheme="minorEastAsia" w:hAnsiTheme="minorEastAsia" w:eastAsiaTheme="minorEastAsia" w:cstheme="minorEastAsia"/>
                <w:color w:val="000000"/>
                <w:kern w:val="0"/>
                <w:sz w:val="18"/>
                <w:szCs w:val="18"/>
                <w:highlight w:val="none"/>
                <w:lang w:val="en-US" w:eastAsia="zh-CN"/>
              </w:rPr>
            </w:pPr>
            <w:r>
              <w:rPr>
                <w:rFonts w:hint="eastAsia" w:asciiTheme="minorEastAsia" w:hAnsiTheme="minorEastAsia" w:eastAsiaTheme="minorEastAsia" w:cstheme="minorEastAsia"/>
                <w:color w:val="000000"/>
                <w:kern w:val="0"/>
                <w:sz w:val="18"/>
                <w:szCs w:val="18"/>
                <w:highlight w:val="none"/>
                <w:lang w:val="en-US" w:eastAsia="zh-CN"/>
              </w:rPr>
              <w:t>45</w:t>
            </w:r>
          </w:p>
        </w:tc>
        <w:tc>
          <w:tcPr>
            <w:tcW w:w="1533"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注射用维尔玛酶α</w:t>
            </w:r>
          </w:p>
        </w:tc>
        <w:tc>
          <w:tcPr>
            <w:tcW w:w="23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 xml:space="preserve">Velmanase </w:t>
            </w:r>
            <w:r>
              <w:rPr>
                <w:rFonts w:hint="eastAsia" w:asciiTheme="minorEastAsia" w:hAnsiTheme="minorEastAsia" w:eastAsiaTheme="minorEastAsia" w:cstheme="minorEastAsia"/>
                <w:color w:val="000000"/>
                <w:kern w:val="0"/>
                <w:sz w:val="18"/>
                <w:szCs w:val="18"/>
                <w:highlight w:val="none"/>
                <w:lang w:val="en-US" w:eastAsia="zh-CN"/>
              </w:rPr>
              <w:t>a</w:t>
            </w:r>
            <w:r>
              <w:rPr>
                <w:rFonts w:hint="eastAsia" w:asciiTheme="minorEastAsia" w:hAnsiTheme="minorEastAsia" w:eastAsiaTheme="minorEastAsia" w:cstheme="minorEastAsia"/>
                <w:color w:val="000000"/>
                <w:kern w:val="0"/>
                <w:sz w:val="18"/>
                <w:szCs w:val="18"/>
                <w:highlight w:val="none"/>
              </w:rPr>
              <w:t>lfa</w:t>
            </w:r>
          </w:p>
        </w:tc>
        <w:tc>
          <w:tcPr>
            <w:tcW w:w="3034"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是一种酶替代疗法，用于治疗轻度至中度α-甘露糖苷贮积症患者的非神经系统表现</w:t>
            </w:r>
            <w:r>
              <w:rPr>
                <w:rFonts w:hint="eastAsia" w:asciiTheme="minorEastAsia" w:hAnsiTheme="minorEastAsia" w:eastAsiaTheme="minorEastAsia" w:cstheme="minorEastAsia"/>
                <w:color w:val="000000"/>
                <w:kern w:val="0"/>
                <w:sz w:val="18"/>
                <w:szCs w:val="18"/>
                <w:highlight w:val="none"/>
                <w:lang w:eastAsia="zh-CN"/>
              </w:rPr>
              <w:t>。</w:t>
            </w:r>
          </w:p>
        </w:tc>
        <w:tc>
          <w:tcPr>
            <w:tcW w:w="2779"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Theme="minorEastAsia" w:hAnsiTheme="minorEastAsia" w:eastAsiaTheme="minorEastAsia" w:cstheme="minorEastAsia"/>
                <w:color w:val="00000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Chiesi Farmaceutici S.p.A.</w:t>
            </w:r>
          </w:p>
        </w:tc>
        <w:tc>
          <w:tcPr>
            <w:tcW w:w="15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每瓶包含10mg velmanase alfa</w:t>
            </w:r>
          </w:p>
        </w:tc>
        <w:tc>
          <w:tcPr>
            <w:tcW w:w="193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top"/>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rPr>
              <w:t>每盒1、5或10瓶</w:t>
            </w:r>
            <w:r>
              <w:rPr>
                <w:rFonts w:hint="eastAsia" w:asciiTheme="minorEastAsia" w:hAnsiTheme="minorEastAsia" w:eastAsiaTheme="minorEastAsia" w:cstheme="minorEastAsia"/>
                <w:color w:val="000000"/>
                <w:kern w:val="0"/>
                <w:sz w:val="18"/>
                <w:szCs w:val="18"/>
                <w:highlight w:val="none"/>
                <w:lang w:eastAsia="zh-CN"/>
              </w:rPr>
              <w:t>。</w:t>
            </w:r>
          </w:p>
        </w:tc>
      </w:tr>
    </w:tbl>
    <w:p>
      <w:pPr>
        <w:pStyle w:val="2"/>
        <w:rPr>
          <w:rFonts w:hint="eastAsia" w:ascii="楷体" w:hAnsi="楷体" w:eastAsia="楷体" w:cs="楷体"/>
          <w:sz w:val="32"/>
          <w:szCs w:val="32"/>
        </w:rPr>
      </w:pPr>
      <w:r>
        <w:rPr>
          <w:rFonts w:hint="eastAsia" w:ascii="楷体" w:hAnsi="楷体" w:eastAsia="楷体" w:cs="楷体"/>
          <w:sz w:val="32"/>
          <w:szCs w:val="32"/>
          <w:lang w:val="en-US" w:eastAsia="zh-CN"/>
        </w:rPr>
        <w:t>注：目录内药品医疗器械的</w:t>
      </w:r>
      <w:bookmarkStart w:id="0" w:name="_GoBack"/>
      <w:bookmarkEnd w:id="0"/>
      <w:r>
        <w:rPr>
          <w:rFonts w:hint="eastAsia" w:ascii="楷体" w:hAnsi="楷体" w:eastAsia="楷体" w:cs="楷体"/>
          <w:sz w:val="32"/>
          <w:szCs w:val="32"/>
          <w:lang w:val="en-US" w:eastAsia="zh-CN"/>
        </w:rPr>
        <w:t>适应症/适用范围以产品使用说明书载明信息为准。</w:t>
      </w:r>
    </w:p>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ind w:left="320" w:leftChars="100" w:right="320" w:right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ind w:left="320" w:leftChars="100" w:right="320" w:right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ODA5YjU4MzNkMzg1MjIwYjQwMzY2MzQ3MTAyYzEifQ=="/>
  </w:docVars>
  <w:rsids>
    <w:rsidRoot w:val="650034DE"/>
    <w:rsid w:val="47EE7202"/>
    <w:rsid w:val="65003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font51"/>
    <w:basedOn w:val="4"/>
    <w:qFormat/>
    <w:uiPriority w:val="0"/>
    <w:rPr>
      <w:rFonts w:hint="default" w:ascii="Times New Roman" w:hAnsi="Times New Roman" w:cs="Times New Roman"/>
      <w:color w:val="000000"/>
      <w:sz w:val="28"/>
      <w:szCs w:val="28"/>
      <w:u w:val="none"/>
    </w:rPr>
  </w:style>
  <w:style w:type="character" w:customStyle="1" w:styleId="8">
    <w:name w:val="font13"/>
    <w:basedOn w:val="4"/>
    <w:qFormat/>
    <w:uiPriority w:val="0"/>
    <w:rPr>
      <w:rFonts w:hint="eastAsia" w:ascii="楷体" w:hAnsi="楷体" w:eastAsia="楷体" w:cs="楷体"/>
      <w:color w:val="000000"/>
      <w:sz w:val="32"/>
      <w:szCs w:val="32"/>
      <w:u w:val="none"/>
    </w:rPr>
  </w:style>
  <w:style w:type="character" w:customStyle="1" w:styleId="9">
    <w:name w:val="font31"/>
    <w:basedOn w:val="4"/>
    <w:qFormat/>
    <w:uiPriority w:val="0"/>
    <w:rPr>
      <w:rFonts w:hint="eastAsia" w:ascii="宋体" w:hAnsi="宋体" w:eastAsia="宋体" w:cs="宋体"/>
      <w:color w:val="000000"/>
      <w:sz w:val="32"/>
      <w:szCs w:val="32"/>
      <w:u w:val="none"/>
    </w:rPr>
  </w:style>
  <w:style w:type="character" w:customStyle="1" w:styleId="10">
    <w:name w:val="font81"/>
    <w:basedOn w:val="4"/>
    <w:qFormat/>
    <w:uiPriority w:val="0"/>
    <w:rPr>
      <w:rFonts w:hint="eastAsia" w:ascii="宋体" w:hAnsi="宋体" w:eastAsia="宋体" w:cs="宋体"/>
      <w:color w:val="000000"/>
      <w:sz w:val="22"/>
      <w:szCs w:val="22"/>
      <w:u w:val="none"/>
    </w:rPr>
  </w:style>
  <w:style w:type="character" w:customStyle="1" w:styleId="11">
    <w:name w:val="font91"/>
    <w:basedOn w:val="4"/>
    <w:qFormat/>
    <w:uiPriority w:val="0"/>
    <w:rPr>
      <w:rFonts w:hint="eastAsia" w:ascii="宋体" w:hAnsi="宋体" w:eastAsia="宋体" w:cs="宋体"/>
      <w:color w:val="000000"/>
      <w:sz w:val="32"/>
      <w:szCs w:val="32"/>
      <w:u w:val="none"/>
    </w:rPr>
  </w:style>
  <w:style w:type="character" w:customStyle="1" w:styleId="12">
    <w:name w:val="font41"/>
    <w:basedOn w:val="4"/>
    <w:qFormat/>
    <w:uiPriority w:val="0"/>
    <w:rPr>
      <w:rFonts w:hint="eastAsia" w:ascii="宋体" w:hAnsi="宋体" w:eastAsia="宋体" w:cs="宋体"/>
      <w:color w:val="000000"/>
      <w:sz w:val="32"/>
      <w:szCs w:val="32"/>
      <w:u w:val="none"/>
    </w:rPr>
  </w:style>
  <w:style w:type="character" w:customStyle="1" w:styleId="13">
    <w:name w:val="font11"/>
    <w:basedOn w:val="4"/>
    <w:qFormat/>
    <w:uiPriority w:val="0"/>
    <w:rPr>
      <w:rFonts w:hint="default" w:ascii="Times New Roman" w:hAnsi="Times New Roman" w:cs="Times New Roman"/>
      <w:color w:val="000000"/>
      <w:sz w:val="32"/>
      <w:szCs w:val="32"/>
      <w:u w:val="none"/>
    </w:rPr>
  </w:style>
  <w:style w:type="character" w:customStyle="1" w:styleId="14">
    <w:name w:val="font111"/>
    <w:basedOn w:val="4"/>
    <w:qFormat/>
    <w:uiPriority w:val="0"/>
    <w:rPr>
      <w:rFonts w:hint="eastAsia" w:ascii="宋体" w:hAnsi="宋体" w:eastAsia="宋体" w:cs="宋体"/>
      <w:color w:val="000000"/>
      <w:sz w:val="28"/>
      <w:szCs w:val="28"/>
      <w:u w:val="none"/>
    </w:rPr>
  </w:style>
  <w:style w:type="character" w:customStyle="1" w:styleId="15">
    <w:name w:val="font71"/>
    <w:basedOn w:val="4"/>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8</Pages>
  <Words>3188</Words>
  <Characters>5382</Characters>
  <Lines>0</Lines>
  <Paragraphs>0</Paragraphs>
  <TotalTime>0</TotalTime>
  <ScaleCrop>false</ScaleCrop>
  <LinksUpToDate>false</LinksUpToDate>
  <CharactersWithSpaces>5555</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2026-02-02T06:34:00Z</dcterms:created>
  <dc:creator>沉默的肥羔羊</dc:creator>
  <cp:lastModifiedBy>chenning</cp:lastModifiedBy>
  <dcterms:modified xsi:type="dcterms:W3CDTF">2026-02-02T06:43:58Z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D98D85B59AC6417AA1E0383C54EF4EFD</vt:lpwstr>
  </property>
</Properties>
</file>