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0D7EB">
      <w:pPr>
        <w:spacing w:after="0" w:line="580" w:lineRule="exact"/>
        <w:rPr>
          <w:rFonts w:ascii="Times New Roman" w:hAnsi="Times New Roman" w:eastAsia="黑体"/>
          <w:sz w:val="32"/>
          <w:szCs w:val="32"/>
        </w:rPr>
      </w:pPr>
      <w:r>
        <w:rPr>
          <w:rFonts w:ascii="Times New Roman" w:hAnsi="Times New Roman" w:eastAsia="黑体"/>
          <w:sz w:val="32"/>
          <w:szCs w:val="32"/>
        </w:rPr>
        <w:t>附件7</w:t>
      </w:r>
    </w:p>
    <w:p w14:paraId="285D9469">
      <w:pPr>
        <w:spacing w:after="0" w:line="580" w:lineRule="exact"/>
        <w:rPr>
          <w:rFonts w:ascii="Times New Roman" w:hAnsi="Times New Roman" w:eastAsia="黑体"/>
          <w:sz w:val="32"/>
          <w:szCs w:val="32"/>
        </w:rPr>
      </w:pPr>
    </w:p>
    <w:p w14:paraId="0C94E277">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东莞市低空装备制造项目专项资金申报指南</w:t>
      </w:r>
    </w:p>
    <w:p w14:paraId="1FF96399">
      <w:pPr>
        <w:spacing w:after="0" w:line="580" w:lineRule="exact"/>
        <w:ind w:firstLine="420" w:firstLineChars="200"/>
        <w:rPr>
          <w:rFonts w:ascii="Times New Roman" w:hAnsi="Times New Roman"/>
        </w:rPr>
      </w:pPr>
    </w:p>
    <w:p w14:paraId="396EB334">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根据《东莞市支持低空经济高质量发展的若干措施》（东发改〔2025〕192号）第三章第（七）条、《东莞市低空经济产业发展专项资金管理办法》，制定本申报指南。</w:t>
      </w:r>
    </w:p>
    <w:p w14:paraId="648E12C5">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79976B71">
      <w:pPr>
        <w:pStyle w:val="5"/>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在东莞市注册成立，税务登记及统计关系均在东莞市范围内，住所在东莞市内，且具有健全的财务制度、独立的法人资格，实行单独核算，专门从事</w:t>
      </w:r>
      <w:r>
        <w:rPr>
          <w:rStyle w:val="11"/>
          <w:rFonts w:ascii="Times New Roman" w:hAnsi="Times New Roman"/>
        </w:rPr>
        <w:t>低空</w:t>
      </w:r>
      <w:r>
        <w:rPr>
          <w:rFonts w:ascii="Times New Roman" w:hAnsi="Times New Roman" w:eastAsia="仿宋_GB2312"/>
          <w:sz w:val="32"/>
          <w:szCs w:val="32"/>
        </w:rPr>
        <w:t>航空器整机研发制造、核心零部件研发制造、低空飞行与保障、商业运营等的低空经济相关企业或机构。</w:t>
      </w:r>
    </w:p>
    <w:p w14:paraId="431B6F0D">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59FDB6D5">
      <w:pPr>
        <w:widowControl/>
        <w:spacing w:after="0" w:line="58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color w:val="000000"/>
          <w:sz w:val="32"/>
          <w:szCs w:val="32"/>
          <w:lang w:bidi="ar"/>
        </w:rPr>
        <w:t>项目实施地在东莞市内，已取得投资主管部门核准、审批和备案等立项文件</w:t>
      </w:r>
      <w:r>
        <w:rPr>
          <w:rFonts w:ascii="Times New Roman" w:hAnsi="Times New Roman" w:eastAsia="仿宋_GB2312"/>
          <w:sz w:val="32"/>
          <w:szCs w:val="32"/>
          <w:lang w:bidi="ar"/>
        </w:rPr>
        <w:t>，项目投入必须包含新购置生产设备投资；</w:t>
      </w:r>
    </w:p>
    <w:p w14:paraId="3C985A8F">
      <w:pPr>
        <w:pStyle w:val="1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二</w:t>
      </w:r>
      <w:r>
        <w:rPr>
          <w:rFonts w:ascii="Times New Roman" w:hAnsi="Times New Roman" w:eastAsia="仿宋_GB2312"/>
          <w:sz w:val="32"/>
          <w:szCs w:val="32"/>
        </w:rPr>
        <w:t>）满足低空装备制造产业中的固定翼飞机、直升机、新能源无人机、飞行汽车、eVTOL整机，以及关键设备、核心零部件、材料研制、能源动力系统、飞控系统、大载重负荷、无人机反制等重点领域</w:t>
      </w:r>
      <w:r>
        <w:rPr>
          <w:rFonts w:hint="eastAsia" w:ascii="Times New Roman" w:hAnsi="Times New Roman" w:eastAsia="仿宋_GB2312"/>
          <w:sz w:val="32"/>
          <w:szCs w:val="32"/>
          <w:lang w:eastAsia="zh-CN"/>
        </w:rPr>
        <w:t>；</w:t>
      </w:r>
    </w:p>
    <w:p w14:paraId="1A4A34CB">
      <w:pPr>
        <w:pStyle w:val="12"/>
        <w:spacing w:after="0" w:line="580" w:lineRule="exact"/>
        <w:ind w:firstLine="640" w:firstLineChars="200"/>
        <w:rPr>
          <w:rStyle w:val="11"/>
          <w:rFonts w:hint="eastAsia" w:ascii="Times New Roman" w:hAnsi="Times New Roman" w:eastAsia="仿宋_GB2312"/>
          <w:highlight w:val="none"/>
          <w:lang w:eastAsia="zh-CN"/>
        </w:rPr>
      </w:pP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三</w:t>
      </w:r>
      <w:r>
        <w:rPr>
          <w:rFonts w:ascii="Times New Roman" w:hAnsi="Times New Roman" w:eastAsia="仿宋_GB2312"/>
          <w:sz w:val="32"/>
          <w:szCs w:val="32"/>
          <w:highlight w:val="none"/>
        </w:rPr>
        <w:t>）项目已投资并实际建设完成，且已投入运营，</w:t>
      </w:r>
      <w:r>
        <w:rPr>
          <w:rStyle w:val="11"/>
          <w:rFonts w:ascii="Times New Roman" w:hAnsi="Times New Roman"/>
          <w:highlight w:val="none"/>
        </w:rPr>
        <w:t>项目</w:t>
      </w:r>
      <w:r>
        <w:rPr>
          <w:rStyle w:val="11"/>
          <w:rFonts w:hint="eastAsia" w:ascii="Times New Roman" w:hAnsi="Times New Roman" w:eastAsia="仿宋_GB2312"/>
          <w:highlight w:val="none"/>
          <w:lang w:eastAsia="zh-CN"/>
        </w:rPr>
        <w:t>投产</w:t>
      </w:r>
      <w:r>
        <w:rPr>
          <w:rStyle w:val="11"/>
          <w:rFonts w:ascii="Times New Roman" w:hAnsi="Times New Roman"/>
          <w:highlight w:val="none"/>
        </w:rPr>
        <w:t>时间为2025年9月15日（含）之后</w:t>
      </w:r>
      <w:r>
        <w:rPr>
          <w:rStyle w:val="11"/>
          <w:rFonts w:hint="eastAsia" w:ascii="Times New Roman" w:hAnsi="Times New Roman" w:eastAsia="仿宋_GB2312"/>
          <w:highlight w:val="none"/>
          <w:lang w:eastAsia="zh-CN"/>
        </w:rPr>
        <w:t>；</w:t>
      </w:r>
    </w:p>
    <w:p w14:paraId="18DC5847">
      <w:pPr>
        <w:pStyle w:val="12"/>
        <w:spacing w:after="0" w:line="580" w:lineRule="exact"/>
        <w:ind w:firstLine="640" w:firstLineChars="200"/>
        <w:rPr>
          <w:rStyle w:val="11"/>
          <w:rFonts w:hint="eastAsia" w:ascii="Times New Roman" w:hAnsi="Times New Roman" w:eastAsia="仿宋_GB2312"/>
          <w:highlight w:val="none"/>
          <w:lang w:eastAsia="zh-CN"/>
        </w:rPr>
      </w:pPr>
      <w:r>
        <w:rPr>
          <w:rFonts w:hint="eastAsia" w:ascii="Times New Roman" w:hAnsi="Times New Roman" w:eastAsia="仿宋_GB2312"/>
          <w:sz w:val="32"/>
          <w:szCs w:val="32"/>
          <w:lang w:eastAsia="zh-CN" w:bidi="ar"/>
        </w:rPr>
        <w:t>（四）</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2D15D8FE">
      <w:pPr>
        <w:widowControl/>
        <w:spacing w:after="0" w:line="580" w:lineRule="exact"/>
        <w:ind w:firstLine="640" w:firstLineChars="200"/>
        <w:rPr>
          <w:rStyle w:val="11"/>
          <w:rFonts w:ascii="Times New Roman" w:hAnsi="Times New Roman"/>
          <w:highlight w:val="yellow"/>
        </w:rPr>
      </w:pPr>
      <w:r>
        <w:rPr>
          <w:rFonts w:ascii="Times New Roman" w:hAnsi="Times New Roman" w:eastAsia="仿宋_GB2312"/>
          <w:sz w:val="32"/>
          <w:szCs w:val="32"/>
          <w:lang w:bidi="ar"/>
        </w:rPr>
        <w:t>（</w:t>
      </w:r>
      <w:r>
        <w:rPr>
          <w:rFonts w:hint="eastAsia" w:ascii="Times New Roman" w:hAnsi="Times New Roman" w:eastAsia="仿宋_GB2312"/>
          <w:sz w:val="32"/>
          <w:szCs w:val="32"/>
          <w:lang w:eastAsia="zh-CN" w:bidi="ar"/>
        </w:rPr>
        <w:t>五</w:t>
      </w:r>
      <w:r>
        <w:rPr>
          <w:rFonts w:ascii="Times New Roman" w:hAnsi="Times New Roman" w:eastAsia="仿宋_GB2312"/>
          <w:sz w:val="32"/>
          <w:szCs w:val="32"/>
          <w:lang w:bidi="ar"/>
        </w:rPr>
        <w:t>）申报单位未获得同类型市级财政资金支持，不存在财政专项资金不予资助的情形，未违反国家、省、市联合惩戒政策和制度规定，未被列为失信联合惩戒对象。</w:t>
      </w:r>
    </w:p>
    <w:p w14:paraId="51462972">
      <w:pPr>
        <w:pStyle w:val="5"/>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3FDF53E8">
      <w:pPr>
        <w:spacing w:after="0" w:line="580" w:lineRule="exact"/>
        <w:ind w:firstLine="640"/>
        <w:rPr>
          <w:rFonts w:ascii="Times New Roman" w:hAnsi="Times New Roman" w:eastAsia="仿宋_GB2312"/>
          <w:sz w:val="32"/>
          <w:szCs w:val="32"/>
        </w:rPr>
      </w:pPr>
      <w:r>
        <w:rPr>
          <w:rFonts w:ascii="Times New Roman" w:hAnsi="Times New Roman" w:eastAsia="仿宋_GB2312"/>
          <w:sz w:val="32"/>
          <w:szCs w:val="32"/>
        </w:rPr>
        <w:t>按照第三方机构专项审计确认的实际建设投资费用（不包含地价）中社会资本的10%进行一次性资助。具体标准如下：</w:t>
      </w:r>
    </w:p>
    <w:p w14:paraId="5F8B6781">
      <w:pPr>
        <w:numPr>
          <w:ilvl w:val="0"/>
          <w:numId w:val="1"/>
        </w:numPr>
        <w:spacing w:after="0" w:line="580" w:lineRule="exact"/>
        <w:ind w:firstLine="640"/>
        <w:rPr>
          <w:rFonts w:ascii="Times New Roman" w:hAnsi="Times New Roman" w:eastAsia="仿宋_GB2312"/>
          <w:sz w:val="32"/>
          <w:szCs w:val="32"/>
        </w:rPr>
      </w:pPr>
      <w:r>
        <w:rPr>
          <w:rFonts w:ascii="Times New Roman" w:hAnsi="Times New Roman" w:eastAsia="仿宋_GB2312"/>
          <w:sz w:val="32"/>
          <w:szCs w:val="32"/>
        </w:rPr>
        <w:t>对建设投资金额（不含地价）达到1亿元以上的整机项目，按项目实际建设投资的10%给予一次性补贴，单个企业累计不超过1000万元；</w:t>
      </w:r>
    </w:p>
    <w:p w14:paraId="7A21A2D9">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（二）对建设投资金额（不含地价）5000万元以上的零部件项目，按项目实际建设投资的10%给予一次性补贴，单个企业累计不超过1000万元；</w:t>
      </w:r>
    </w:p>
    <w:p w14:paraId="405F076E">
      <w:pPr>
        <w:widowControl/>
        <w:spacing w:after="0" w:line="580" w:lineRule="exact"/>
        <w:ind w:firstLine="640"/>
        <w:jc w:val="left"/>
        <w:rPr>
          <w:rFonts w:ascii="Times New Roman" w:hAnsi="Times New Roman" w:eastAsia="仿宋_GB2312"/>
          <w:sz w:val="32"/>
          <w:szCs w:val="32"/>
        </w:rPr>
      </w:pPr>
      <w:r>
        <w:rPr>
          <w:rFonts w:ascii="Times New Roman" w:hAnsi="Times New Roman" w:eastAsia="仿宋_GB2312"/>
          <w:sz w:val="32"/>
          <w:szCs w:val="32"/>
        </w:rPr>
        <w:t>（三）具体资助标准和金额将根据年度资金预算及申报情况进行调整。</w:t>
      </w:r>
    </w:p>
    <w:p w14:paraId="22E55211">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14:paraId="28703D86">
      <w:pPr>
        <w:spacing w:after="0" w:line="580" w:lineRule="exact"/>
        <w:ind w:firstLine="640" w:firstLineChars="200"/>
        <w:rPr>
          <w:rFonts w:ascii="Times New Roman" w:hAnsi="Times New Roman" w:eastAsia="仿宋_GB2312" w:cs="Times New Roman"/>
          <w:sz w:val="32"/>
          <w:szCs w:val="32"/>
        </w:rPr>
      </w:pPr>
      <w:r>
        <w:rPr>
          <w:rFonts w:ascii="Times New Roman" w:hAnsi="Times New Roman" w:eastAsia="楷体" w:cs="Times New Roman"/>
          <w:sz w:val="32"/>
          <w:szCs w:val="32"/>
        </w:rPr>
        <w:t>（一）网上申报。</w:t>
      </w:r>
      <w:r>
        <w:rPr>
          <w:rFonts w:ascii="Times New Roman" w:hAnsi="Times New Roman" w:eastAsia="仿宋_GB2312" w:cs="Times New Roman"/>
          <w:sz w:val="32"/>
          <w:szCs w:val="32"/>
        </w:rPr>
        <w:t>申报单位按照要求准备相关材料，并</w:t>
      </w:r>
      <w:r>
        <w:rPr>
          <w:rFonts w:hint="eastAsia" w:ascii="Times New Roman" w:hAnsi="Times New Roman" w:eastAsia="仿宋_GB2312" w:cs="Times New Roman"/>
          <w:sz w:val="32"/>
          <w:szCs w:val="32"/>
          <w:lang w:eastAsia="zh-CN"/>
        </w:rPr>
        <w:t>登录</w:t>
      </w:r>
      <w:r>
        <w:rPr>
          <w:rFonts w:ascii="Times New Roman" w:hAnsi="Times New Roman" w:eastAsia="仿宋_GB2312" w:cs="Times New Roman"/>
          <w:sz w:val="32"/>
          <w:szCs w:val="32"/>
        </w:rPr>
        <w:t>东莞市“企莞家”，系统地址</w:t>
      </w:r>
      <w:r>
        <w:rPr>
          <w:rFonts w:hint="eastAsia" w:ascii="Times New Roman" w:hAnsi="Times New Roman" w:eastAsia="仿宋_GB2312" w:cs="Times New Roman"/>
          <w:sz w:val="32"/>
          <w:szCs w:val="32"/>
        </w:rPr>
        <w:t>https://zwfw.dg.gov.cn/dgecsp</w:t>
      </w:r>
      <w:r>
        <w:rPr>
          <w:rFonts w:ascii="Times New Roman" w:hAnsi="Times New Roman" w:eastAsia="仿宋_GB2312" w:cs="Times New Roman"/>
          <w:sz w:val="32"/>
          <w:szCs w:val="32"/>
        </w:rPr>
        <w:t>，在对应栏目进行网上自主申报。</w:t>
      </w:r>
    </w:p>
    <w:p w14:paraId="6FF14AE0">
      <w:pPr>
        <w:spacing w:after="0" w:line="580" w:lineRule="exact"/>
        <w:ind w:firstLine="640" w:firstLineChars="200"/>
        <w:rPr>
          <w:rFonts w:ascii="Times New Roman" w:hAnsi="Times New Roman" w:eastAsia="仿宋_GB2312" w:cs="Times New Roman"/>
          <w:sz w:val="32"/>
          <w:szCs w:val="32"/>
        </w:rPr>
      </w:pPr>
      <w:r>
        <w:rPr>
          <w:rFonts w:ascii="Times New Roman" w:hAnsi="Times New Roman" w:eastAsia="楷体" w:cs="Times New Roman"/>
          <w:sz w:val="32"/>
          <w:szCs w:val="32"/>
        </w:rPr>
        <w:t>（二）线上初审。</w:t>
      </w:r>
      <w:r>
        <w:rPr>
          <w:rFonts w:ascii="Times New Roman" w:hAnsi="Times New Roman" w:eastAsia="仿宋_GB2312" w:cs="Times New Roman"/>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w:t>
      </w:r>
      <w:r>
        <w:rPr>
          <w:rFonts w:hint="eastAsia" w:ascii="Times New Roman" w:hAnsi="Times New Roman" w:eastAsia="仿宋_GB2312" w:cs="Times New Roman"/>
          <w:sz w:val="32"/>
          <w:szCs w:val="32"/>
          <w:lang w:eastAsia="zh-CN"/>
        </w:rPr>
        <w:t>东莞</w:t>
      </w:r>
      <w:r>
        <w:rPr>
          <w:rFonts w:hint="eastAsia" w:ascii="Times New Roman" w:hAnsi="Times New Roman" w:eastAsia="仿宋_GB2312" w:cs="Times New Roman"/>
          <w:sz w:val="32"/>
          <w:szCs w:val="32"/>
        </w:rPr>
        <w:t>市政务服务中心</w:t>
      </w:r>
      <w:r>
        <w:rPr>
          <w:rFonts w:ascii="Times New Roman" w:hAnsi="Times New Roman" w:eastAsia="仿宋_GB2312" w:cs="Times New Roman"/>
          <w:sz w:val="32"/>
          <w:szCs w:val="32"/>
        </w:rPr>
        <w:t>。</w:t>
      </w:r>
    </w:p>
    <w:p w14:paraId="6B12D3BE">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14:paraId="30684F3B">
      <w:pPr>
        <w:spacing w:after="0"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7C897A44">
      <w:pPr>
        <w:widowControl/>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w:t>
      </w:r>
      <w:bookmarkStart w:id="2" w:name="_GoBack"/>
      <w:bookmarkEnd w:id="2"/>
      <w:r>
        <w:rPr>
          <w:rFonts w:ascii="Times New Roman" w:hAnsi="Times New Roman" w:eastAsia="楷体"/>
          <w:sz w:val="32"/>
          <w:szCs w:val="32"/>
        </w:rPr>
        <w:t>审定。</w:t>
      </w:r>
      <w:r>
        <w:rPr>
          <w:rFonts w:ascii="Times New Roman" w:hAnsi="Times New Roman" w:eastAsia="仿宋_GB2312"/>
          <w:sz w:val="32"/>
          <w:szCs w:val="32"/>
        </w:rPr>
        <w:t>具体按照市财政资金事项层级审批程序办理。</w:t>
      </w:r>
    </w:p>
    <w:p w14:paraId="56D81647">
      <w:pPr>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3F69DD4E">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w:t>
      </w:r>
      <w:bookmarkStart w:id="0" w:name="OLE_LINK1"/>
      <w:r>
        <w:rPr>
          <w:rFonts w:ascii="Times New Roman" w:hAnsi="Times New Roman" w:eastAsia="仿宋_GB2312"/>
          <w:snapToGrid w:val="0"/>
          <w:color w:val="000000"/>
          <w:sz w:val="32"/>
          <w:szCs w:val="32"/>
        </w:rPr>
        <w:t>专项资金申请表</w:t>
      </w:r>
      <w:bookmarkEnd w:id="0"/>
      <w:r>
        <w:rPr>
          <w:rFonts w:ascii="Times New Roman" w:hAnsi="Times New Roman" w:eastAsia="仿宋_GB2312"/>
          <w:snapToGrid w:val="0"/>
          <w:color w:val="000000"/>
          <w:sz w:val="32"/>
          <w:szCs w:val="32"/>
        </w:rPr>
        <w:t>；</w:t>
      </w:r>
    </w:p>
    <w:p w14:paraId="14010906">
      <w:pPr>
        <w:widowControl/>
        <w:kinsoku w:val="0"/>
        <w:autoSpaceDE w:val="0"/>
        <w:autoSpaceDN w:val="0"/>
        <w:adjustRightInd w:val="0"/>
        <w:snapToGrid w:val="0"/>
        <w:spacing w:after="0"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二</w:t>
      </w:r>
      <w:r>
        <w:rPr>
          <w:rFonts w:ascii="Times New Roman" w:hAnsi="Times New Roman" w:eastAsia="仿宋_GB2312"/>
          <w:snapToGrid w:val="0"/>
          <w:color w:val="000000"/>
          <w:spacing w:val="-6"/>
          <w:sz w:val="32"/>
          <w:szCs w:val="32"/>
        </w:rPr>
        <w:t>）申报单位营业执照、法人代表身份证复印件；</w:t>
      </w:r>
    </w:p>
    <w:p w14:paraId="1ACADADF">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22500945">
      <w:pPr>
        <w:widowControl/>
        <w:kinsoku w:val="0"/>
        <w:autoSpaceDE w:val="0"/>
        <w:autoSpaceDN w:val="0"/>
        <w:adjustRightInd w:val="0"/>
        <w:snapToGrid w:val="0"/>
        <w:spacing w:after="0"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w:t>
      </w:r>
      <w:bookmarkStart w:id="1" w:name="OLE_LINK2"/>
      <w:r>
        <w:rPr>
          <w:rFonts w:ascii="Times New Roman" w:hAnsi="Times New Roman" w:eastAsia="仿宋_GB2312"/>
          <w:snapToGrid w:val="0"/>
          <w:color w:val="000000"/>
          <w:sz w:val="32"/>
          <w:szCs w:val="32"/>
        </w:rPr>
        <w:t>申报单位上一年度财务审计报告或其基本开户银行出具的资信证明、完税证明</w:t>
      </w:r>
      <w:bookmarkEnd w:id="1"/>
      <w:r>
        <w:rPr>
          <w:rFonts w:ascii="Times New Roman" w:hAnsi="Times New Roman" w:eastAsia="仿宋_GB2312"/>
          <w:snapToGrid w:val="0"/>
          <w:color w:val="000000"/>
          <w:sz w:val="32"/>
          <w:szCs w:val="32"/>
        </w:rPr>
        <w:t>；</w:t>
      </w:r>
    </w:p>
    <w:p w14:paraId="382107BB">
      <w:pPr>
        <w:widowControl/>
        <w:spacing w:after="0" w:line="580" w:lineRule="exact"/>
        <w:ind w:firstLine="640" w:firstLineChars="200"/>
        <w:jc w:val="left"/>
        <w:rPr>
          <w:rFonts w:ascii="Times New Roman" w:hAnsi="Times New Roman" w:eastAsia="仿宋_GB2312"/>
          <w:snapToGrid w:val="0"/>
          <w:color w:val="000000"/>
          <w:spacing w:val="-6"/>
          <w:sz w:val="32"/>
          <w:szCs w:val="32"/>
        </w:rPr>
      </w:pPr>
      <w:r>
        <w:rPr>
          <w:rFonts w:ascii="Times New Roman" w:hAnsi="Times New Roman"/>
          <w:snapToGrid w:val="0"/>
          <w:color w:val="000000"/>
          <w:sz w:val="32"/>
          <w:szCs w:val="32"/>
        </w:rPr>
        <w:t>（</w:t>
      </w:r>
      <w:r>
        <w:rPr>
          <w:rFonts w:hint="eastAsia" w:ascii="Times New Roman" w:hAnsi="Times New Roman" w:eastAsia="仿宋_GB2312"/>
          <w:snapToGrid w:val="0"/>
          <w:color w:val="000000"/>
          <w:spacing w:val="-6"/>
          <w:sz w:val="32"/>
          <w:szCs w:val="32"/>
          <w:lang w:eastAsia="zh-CN"/>
        </w:rPr>
        <w:t>五</w:t>
      </w:r>
      <w:r>
        <w:rPr>
          <w:rFonts w:ascii="Times New Roman" w:hAnsi="Times New Roman" w:eastAsia="仿宋_GB2312"/>
          <w:snapToGrid w:val="0"/>
          <w:color w:val="000000"/>
          <w:spacing w:val="-6"/>
          <w:sz w:val="32"/>
          <w:szCs w:val="32"/>
        </w:rPr>
        <w:t>）项目资质与说明文件</w:t>
      </w:r>
      <w:r>
        <w:rPr>
          <w:rFonts w:hint="eastAsia" w:ascii="Times New Roman" w:hAnsi="Times New Roman" w:eastAsia="仿宋_GB2312"/>
          <w:snapToGrid w:val="0"/>
          <w:color w:val="000000"/>
          <w:spacing w:val="-6"/>
          <w:sz w:val="32"/>
          <w:szCs w:val="32"/>
        </w:rPr>
        <w:t>：项目立项备案或核准文件、项目可行性研究报告或建设方案（需明确所属低空装备制造重点领域）、项目竣工验收报告及相关批复文件复印件</w:t>
      </w:r>
      <w:r>
        <w:rPr>
          <w:rFonts w:ascii="Times New Roman" w:hAnsi="Times New Roman" w:eastAsia="仿宋_GB2312"/>
          <w:snapToGrid w:val="0"/>
          <w:color w:val="000000"/>
          <w:spacing w:val="-6"/>
          <w:sz w:val="32"/>
          <w:szCs w:val="32"/>
        </w:rPr>
        <w:t>；</w:t>
      </w:r>
    </w:p>
    <w:p w14:paraId="4AFE882F">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六</w:t>
      </w:r>
      <w:r>
        <w:rPr>
          <w:rFonts w:ascii="Times New Roman" w:hAnsi="Times New Roman" w:eastAsia="仿宋_GB2312"/>
          <w:snapToGrid w:val="0"/>
          <w:color w:val="000000"/>
          <w:sz w:val="32"/>
          <w:szCs w:val="32"/>
        </w:rPr>
        <w:t>）投资额证明材料：提供项目专项审计报告，由符合资质的第三方会计师事务所出具，清晰核定项目实际建设投资总额（范围应包括建筑工程、设备购置及安装等形成固定资产的投资，并明确注明不含土地购置费用）；</w:t>
      </w:r>
    </w:p>
    <w:p w14:paraId="5255F199">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七</w:t>
      </w:r>
      <w:r>
        <w:rPr>
          <w:rFonts w:ascii="Times New Roman" w:hAnsi="Times New Roman" w:eastAsia="仿宋_GB2312"/>
          <w:snapToGrid w:val="0"/>
          <w:color w:val="000000"/>
          <w:sz w:val="32"/>
          <w:szCs w:val="32"/>
        </w:rPr>
        <w:t>）其他佐证材料以及资料真实性承诺函。</w:t>
      </w:r>
    </w:p>
    <w:p w14:paraId="03F1B5C9">
      <w:pPr>
        <w:pStyle w:val="6"/>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0796EB97">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519099FB">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07627FD3">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swiss"/>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6561D">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80582E">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F80582E">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53F718"/>
    <w:multiLevelType w:val="singleLevel"/>
    <w:tmpl w:val="F253F7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024AF3"/>
    <w:rsid w:val="00024AF3"/>
    <w:rsid w:val="002A4FCF"/>
    <w:rsid w:val="003D10B3"/>
    <w:rsid w:val="00631DA9"/>
    <w:rsid w:val="008731CB"/>
    <w:rsid w:val="00985C09"/>
    <w:rsid w:val="009E0E5E"/>
    <w:rsid w:val="00A052CA"/>
    <w:rsid w:val="00A36F98"/>
    <w:rsid w:val="00F328FD"/>
    <w:rsid w:val="00FD436F"/>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4D5277E"/>
    <w:rsid w:val="15983343"/>
    <w:rsid w:val="17CC4808"/>
    <w:rsid w:val="18395C51"/>
    <w:rsid w:val="1A142BD7"/>
    <w:rsid w:val="1AFC50D3"/>
    <w:rsid w:val="1BFE5F7A"/>
    <w:rsid w:val="1C9359BB"/>
    <w:rsid w:val="1ED30099"/>
    <w:rsid w:val="1EDF0179"/>
    <w:rsid w:val="1F5F5549"/>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6FD17DB"/>
    <w:rsid w:val="371DE0B3"/>
    <w:rsid w:val="381528CD"/>
    <w:rsid w:val="39E561FE"/>
    <w:rsid w:val="3AEF7C33"/>
    <w:rsid w:val="3C202A07"/>
    <w:rsid w:val="3CFC24D2"/>
    <w:rsid w:val="3D3E7C3B"/>
    <w:rsid w:val="3DAA0DAC"/>
    <w:rsid w:val="3DF338D5"/>
    <w:rsid w:val="3E7569E0"/>
    <w:rsid w:val="3ECA2888"/>
    <w:rsid w:val="3F166357"/>
    <w:rsid w:val="3F7579C3"/>
    <w:rsid w:val="3FDF0841"/>
    <w:rsid w:val="3FFEF6C5"/>
    <w:rsid w:val="425368B2"/>
    <w:rsid w:val="43330933"/>
    <w:rsid w:val="46663556"/>
    <w:rsid w:val="46732555"/>
    <w:rsid w:val="46F16DC2"/>
    <w:rsid w:val="492F656E"/>
    <w:rsid w:val="4BB9659A"/>
    <w:rsid w:val="4BC9112B"/>
    <w:rsid w:val="4BFDAE7F"/>
    <w:rsid w:val="4E7B9170"/>
    <w:rsid w:val="4F407675"/>
    <w:rsid w:val="4FD4127C"/>
    <w:rsid w:val="500243D3"/>
    <w:rsid w:val="5057656D"/>
    <w:rsid w:val="50FC2067"/>
    <w:rsid w:val="51A16A31"/>
    <w:rsid w:val="51CD50C5"/>
    <w:rsid w:val="524A7539"/>
    <w:rsid w:val="525D019D"/>
    <w:rsid w:val="545304B1"/>
    <w:rsid w:val="566B1FB3"/>
    <w:rsid w:val="56AD0128"/>
    <w:rsid w:val="57A31A70"/>
    <w:rsid w:val="5842734C"/>
    <w:rsid w:val="5A1178C5"/>
    <w:rsid w:val="5ACD7484"/>
    <w:rsid w:val="5B133087"/>
    <w:rsid w:val="5BBF64B7"/>
    <w:rsid w:val="5C57280E"/>
    <w:rsid w:val="5C5D9AC1"/>
    <w:rsid w:val="5C7E0695"/>
    <w:rsid w:val="5D5B0EE8"/>
    <w:rsid w:val="5DD961EC"/>
    <w:rsid w:val="5EC6CFE6"/>
    <w:rsid w:val="5FD917F1"/>
    <w:rsid w:val="5FF73BFE"/>
    <w:rsid w:val="60570E90"/>
    <w:rsid w:val="618A0AA1"/>
    <w:rsid w:val="618B5A4F"/>
    <w:rsid w:val="61F513C8"/>
    <w:rsid w:val="625D1282"/>
    <w:rsid w:val="629E7A04"/>
    <w:rsid w:val="62E83D12"/>
    <w:rsid w:val="634244EC"/>
    <w:rsid w:val="63676FE6"/>
    <w:rsid w:val="644033E2"/>
    <w:rsid w:val="657E2CE3"/>
    <w:rsid w:val="66DE7FAA"/>
    <w:rsid w:val="678F194F"/>
    <w:rsid w:val="67D66003"/>
    <w:rsid w:val="687261CB"/>
    <w:rsid w:val="68BB2381"/>
    <w:rsid w:val="68C410CB"/>
    <w:rsid w:val="69800A74"/>
    <w:rsid w:val="6A701C86"/>
    <w:rsid w:val="6B654358"/>
    <w:rsid w:val="6BF64260"/>
    <w:rsid w:val="6D956384"/>
    <w:rsid w:val="6FB9249D"/>
    <w:rsid w:val="6FC6486F"/>
    <w:rsid w:val="6FE45F96"/>
    <w:rsid w:val="6FF27F7D"/>
    <w:rsid w:val="705A1E02"/>
    <w:rsid w:val="706A7177"/>
    <w:rsid w:val="70D311C0"/>
    <w:rsid w:val="714E54B6"/>
    <w:rsid w:val="725833FD"/>
    <w:rsid w:val="726067F7"/>
    <w:rsid w:val="72B87464"/>
    <w:rsid w:val="736305DA"/>
    <w:rsid w:val="73914A4C"/>
    <w:rsid w:val="747E1161"/>
    <w:rsid w:val="74EC6780"/>
    <w:rsid w:val="756643B1"/>
    <w:rsid w:val="784C0FEC"/>
    <w:rsid w:val="789E260D"/>
    <w:rsid w:val="79DBCC1E"/>
    <w:rsid w:val="7BB45177"/>
    <w:rsid w:val="7BEBD19A"/>
    <w:rsid w:val="7C280CD9"/>
    <w:rsid w:val="7CAD7620"/>
    <w:rsid w:val="7F3BD77C"/>
    <w:rsid w:val="7F73F49B"/>
    <w:rsid w:val="7F7A2BAC"/>
    <w:rsid w:val="7F992398"/>
    <w:rsid w:val="7FBF9A93"/>
    <w:rsid w:val="7FCF9F83"/>
    <w:rsid w:val="95FFDF5A"/>
    <w:rsid w:val="AFFE1D32"/>
    <w:rsid w:val="BF5BBCB3"/>
    <w:rsid w:val="CBFE7A33"/>
    <w:rsid w:val="E57D0864"/>
    <w:rsid w:val="EDFE14A7"/>
    <w:rsid w:val="EFFFA303"/>
    <w:rsid w:val="F5FE6609"/>
    <w:rsid w:val="FABF91EF"/>
    <w:rsid w:val="FCE5F524"/>
    <w:rsid w:val="FDF52700"/>
    <w:rsid w:val="FF34B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ind w:firstLine="200" w:firstLineChars="200"/>
      <w:outlineLvl w:val="2"/>
    </w:pPr>
    <w:rPr>
      <w:rFonts w:ascii="Times New Roman" w:hAnsi="Times New Roman" w:eastAsia="仿宋_GB2312"/>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Strong"/>
    <w:qFormat/>
    <w:uiPriority w:val="22"/>
    <w:rPr>
      <w:rFonts w:ascii="仿宋_GB2312" w:hAnsi="仿宋_GB2312" w:eastAsia="仿宋_GB2312"/>
      <w:bCs/>
      <w:color w:val="000000"/>
      <w:sz w:val="32"/>
    </w:rPr>
  </w:style>
  <w:style w:type="paragraph" w:styleId="12">
    <w:name w:val="List Paragraph"/>
    <w:basedOn w:val="1"/>
    <w:qFormat/>
    <w:uiPriority w:val="34"/>
    <w:pPr>
      <w:ind w:firstLine="420"/>
    </w:p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920</Words>
  <Characters>939</Characters>
  <Lines>44</Lines>
  <Paragraphs>35</Paragraphs>
  <TotalTime>0</TotalTime>
  <ScaleCrop>false</ScaleCrop>
  <LinksUpToDate>false</LinksUpToDate>
  <CharactersWithSpaces>1824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2023-06-13T00:30:00Z</dcterms:created>
  <dc:creator>admin</dc:creator>
  <cp:lastModifiedBy>史锦滔</cp:lastModifiedBy>
  <cp:lastPrinted>2023-12-06T17:19:00Z</cp:lastPrinted>
  <dcterms:modified xsi:type="dcterms:W3CDTF">2025-11-14T10:00:31Z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9E9553412C8B459691693596262BCC6B_13</vt:lpwstr>
  </property>
  <property fmtid="{D5CDD505-2E9C-101B-9397-08002B2CF9AE}" pid="4" name="KSOTemplateDocerSaveRecord">
    <vt:lpwstr>eyJoZGlkIjoiZDNiYWE2YzVhZGQxODc2MTFmNDdjYWQwN2FmNjI3NTAiLCJ1c2VySWQiOiIzMzY5NDI4NDYifQ==</vt:lpwstr>
  </property>
</Properties>
</file>