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spacing w:before="0" w:beforeAutospacing="0" w:after="0" w:afterAutospacing="0" w:line="579" w:lineRule="exact"/>
        <w:ind w:left="0" w:right="0" w:firstLine="0"/>
        <w:jc w:val="center"/>
        <w:textAlignment w:val="auto"/>
        <w:rPr>
          <w:rFonts w:hint="eastAsia" w:ascii="方正小标宋简体" w:hAnsi="方正小标宋简体" w:eastAsia="方正小标宋简体" w:cs="方正小标宋简体"/>
          <w:b w:val="0"/>
          <w:bCs w:val="0"/>
          <w:kern w:val="0"/>
          <w:sz w:val="44"/>
          <w:szCs w:val="44"/>
          <w:u w:val="none"/>
          <w:lang w:val="en-US" w:eastAsia="zh-CN" w:bidi="ar"/>
        </w:rPr>
      </w:pPr>
      <w:bookmarkStart w:id="0" w:name="_Hlk111813788"/>
      <w:bookmarkEnd w:id="0"/>
      <w:bookmarkStart w:id="378" w:name="_GoBack"/>
      <w:bookmarkEnd w:id="378"/>
    </w:p>
    <w:p>
      <w:pPr>
        <w:keepNext w:val="0"/>
        <w:keepLines w:val="0"/>
        <w:pageBreakBefore w:val="0"/>
        <w:widowControl/>
        <w:suppressLineNumbers w:val="0"/>
        <w:kinsoku/>
        <w:wordWrap/>
        <w:overflowPunct/>
        <w:topLinePunct w:val="0"/>
        <w:autoSpaceDE/>
        <w:autoSpaceDN/>
        <w:bidi w:val="0"/>
        <w:spacing w:before="0" w:beforeAutospacing="0" w:after="0" w:afterAutospacing="0" w:line="579" w:lineRule="exact"/>
        <w:ind w:left="0" w:right="0" w:firstLine="0"/>
        <w:jc w:val="center"/>
        <w:textAlignment w:val="auto"/>
        <w:rPr>
          <w:rFonts w:hint="eastAsia" w:ascii="方正小标宋简体" w:hAnsi="方正小标宋简体" w:eastAsia="方正小标宋简体" w:cs="方正小标宋简体"/>
          <w:b w:val="0"/>
          <w:bCs w:val="0"/>
          <w:kern w:val="0"/>
          <w:sz w:val="32"/>
          <w:szCs w:val="32"/>
          <w:u w:val="none"/>
          <w:lang w:val="en-US" w:eastAsia="zh-CN" w:bidi="ar"/>
        </w:rPr>
      </w:pPr>
      <w:r>
        <w:rPr>
          <w:rFonts w:hint="eastAsia" w:ascii="仿宋_GB2312" w:hAnsi="仿宋_GB2312" w:eastAsia="仿宋_GB2312" w:cs="仿宋_GB2312"/>
          <w:b w:val="0"/>
          <w:bCs w:val="0"/>
          <w:color w:val="auto"/>
          <w:kern w:val="0"/>
          <w:sz w:val="32"/>
          <w:szCs w:val="32"/>
          <w:u w:val="none"/>
          <w:lang w:val="en-US" w:eastAsia="zh-CN" w:bidi="ar"/>
        </w:rPr>
        <w:t xml:space="preserve">                              珠府函〔202</w:t>
      </w:r>
      <w:r>
        <w:rPr>
          <w:rFonts w:hint="default" w:ascii="仿宋_GB2312" w:hAnsi="仿宋_GB2312" w:eastAsia="仿宋_GB2312" w:cs="仿宋_GB2312"/>
          <w:b w:val="0"/>
          <w:bCs w:val="0"/>
          <w:color w:val="auto"/>
          <w:kern w:val="0"/>
          <w:sz w:val="32"/>
          <w:szCs w:val="32"/>
          <w:u w:val="none"/>
          <w:lang w:val="en" w:eastAsia="zh-CN" w:bidi="ar"/>
        </w:rPr>
        <w:t>4</w:t>
      </w:r>
      <w:r>
        <w:rPr>
          <w:rFonts w:hint="eastAsia" w:ascii="仿宋_GB2312" w:hAnsi="仿宋_GB2312" w:eastAsia="仿宋_GB2312" w:cs="仿宋_GB2312"/>
          <w:b w:val="0"/>
          <w:bCs w:val="0"/>
          <w:color w:val="auto"/>
          <w:kern w:val="0"/>
          <w:sz w:val="32"/>
          <w:szCs w:val="32"/>
          <w:u w:val="none"/>
          <w:lang w:val="en-US" w:eastAsia="zh-CN" w:bidi="ar"/>
        </w:rPr>
        <w:t>〕</w:t>
      </w:r>
      <w:r>
        <w:rPr>
          <w:rFonts w:hint="default" w:ascii="仿宋_GB2312" w:hAnsi="仿宋_GB2312" w:eastAsia="仿宋_GB2312" w:cs="仿宋_GB2312"/>
          <w:b w:val="0"/>
          <w:bCs w:val="0"/>
          <w:color w:val="auto"/>
          <w:kern w:val="0"/>
          <w:sz w:val="32"/>
          <w:szCs w:val="32"/>
          <w:u w:val="none"/>
          <w:lang w:val="en" w:eastAsia="zh-CN" w:bidi="ar"/>
        </w:rPr>
        <w:t>213</w:t>
      </w:r>
      <w:r>
        <w:rPr>
          <w:rFonts w:hint="eastAsia" w:ascii="仿宋_GB2312" w:hAnsi="仿宋_GB2312" w:eastAsia="仿宋_GB2312" w:cs="仿宋_GB2312"/>
          <w:b w:val="0"/>
          <w:bCs w:val="0"/>
          <w:color w:val="auto"/>
          <w:kern w:val="0"/>
          <w:sz w:val="32"/>
          <w:szCs w:val="32"/>
          <w:u w:val="none"/>
          <w:lang w:val="en-US" w:eastAsia="zh-CN" w:bidi="ar"/>
        </w:rPr>
        <w:t>号</w:t>
      </w:r>
    </w:p>
    <w:p>
      <w:pPr>
        <w:keepNext w:val="0"/>
        <w:keepLines w:val="0"/>
        <w:pageBreakBefore w:val="0"/>
        <w:widowControl/>
        <w:suppressLineNumbers w:val="0"/>
        <w:kinsoku/>
        <w:wordWrap/>
        <w:overflowPunct/>
        <w:topLinePunct w:val="0"/>
        <w:autoSpaceDE/>
        <w:autoSpaceDN/>
        <w:bidi w:val="0"/>
        <w:spacing w:before="0" w:beforeAutospacing="0" w:after="0" w:afterAutospacing="0" w:line="579" w:lineRule="exact"/>
        <w:ind w:left="0" w:right="0" w:firstLine="0"/>
        <w:jc w:val="center"/>
        <w:textAlignment w:val="auto"/>
        <w:rPr>
          <w:rFonts w:hint="eastAsia" w:ascii="方正小标宋简体" w:hAnsi="方正小标宋简体" w:eastAsia="方正小标宋简体" w:cs="方正小标宋简体"/>
          <w:b w:val="0"/>
          <w:bCs w:val="0"/>
          <w:kern w:val="0"/>
          <w:sz w:val="44"/>
          <w:szCs w:val="44"/>
          <w:u w:val="none"/>
          <w:lang w:val="en-US" w:eastAsia="zh-CN" w:bidi="ar"/>
        </w:rPr>
      </w:pPr>
    </w:p>
    <w:p>
      <w:pPr>
        <w:keepNext w:val="0"/>
        <w:keepLines w:val="0"/>
        <w:pageBreakBefore w:val="0"/>
        <w:widowControl w:val="0"/>
        <w:kinsoku/>
        <w:wordWrap/>
        <w:overflowPunct/>
        <w:topLinePunct w:val="0"/>
        <w:autoSpaceDE/>
        <w:autoSpaceDN/>
        <w:bidi w:val="0"/>
        <w:spacing w:line="579"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val="0"/>
          <w:spacing w:val="0"/>
          <w:kern w:val="0"/>
          <w:sz w:val="44"/>
          <w:szCs w:val="44"/>
          <w:u w:val="none"/>
          <w:lang w:val="en-US" w:eastAsia="zh-CN" w:bidi="ar"/>
        </w:rPr>
      </w:pPr>
      <w:r>
        <w:rPr>
          <w:rFonts w:hint="eastAsia" w:ascii="方正小标宋简体" w:hAnsi="方正小标宋简体" w:eastAsia="方正小标宋简体" w:cs="方正小标宋简体"/>
          <w:b w:val="0"/>
          <w:bCs w:val="0"/>
          <w:spacing w:val="0"/>
          <w:kern w:val="0"/>
          <w:sz w:val="44"/>
          <w:szCs w:val="44"/>
          <w:u w:val="none"/>
          <w:lang w:eastAsia="zh-CN" w:bidi="ar"/>
        </w:rPr>
        <w:t>珠海市人民政府</w:t>
      </w:r>
      <w:r>
        <w:rPr>
          <w:rFonts w:hint="eastAsia" w:ascii="方正小标宋简体" w:hAnsi="方正小标宋简体" w:eastAsia="方正小标宋简体" w:cs="方正小标宋简体"/>
          <w:b w:val="0"/>
          <w:bCs w:val="0"/>
          <w:spacing w:val="0"/>
          <w:kern w:val="0"/>
          <w:sz w:val="44"/>
          <w:szCs w:val="44"/>
          <w:u w:val="none"/>
          <w:lang w:bidi="ar"/>
        </w:rPr>
        <w:t>关于印发</w:t>
      </w:r>
      <w:r>
        <w:rPr>
          <w:rFonts w:hint="eastAsia" w:ascii="方正小标宋简体" w:hAnsi="方正小标宋简体" w:eastAsia="方正小标宋简体" w:cs="方正小标宋简体"/>
          <w:b w:val="0"/>
          <w:bCs w:val="0"/>
          <w:spacing w:val="0"/>
          <w:kern w:val="0"/>
          <w:sz w:val="44"/>
          <w:szCs w:val="44"/>
          <w:u w:val="none"/>
          <w:lang w:val="en-US" w:eastAsia="zh-CN" w:bidi="ar"/>
        </w:rPr>
        <w:t>珠海市国土空间</w:t>
      </w:r>
    </w:p>
    <w:p>
      <w:pPr>
        <w:keepNext w:val="0"/>
        <w:keepLines w:val="0"/>
        <w:pageBreakBefore w:val="0"/>
        <w:widowControl w:val="0"/>
        <w:kinsoku/>
        <w:wordWrap/>
        <w:overflowPunct/>
        <w:topLinePunct w:val="0"/>
        <w:autoSpaceDE/>
        <w:autoSpaceDN/>
        <w:bidi w:val="0"/>
        <w:spacing w:line="579"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val="0"/>
          <w:kern w:val="0"/>
          <w:sz w:val="44"/>
          <w:szCs w:val="44"/>
          <w:u w:val="none"/>
          <w:lang w:bidi="ar"/>
        </w:rPr>
      </w:pPr>
      <w:r>
        <w:rPr>
          <w:rFonts w:hint="eastAsia" w:ascii="方正小标宋简体" w:hAnsi="方正小标宋简体" w:eastAsia="方正小标宋简体" w:cs="方正小标宋简体"/>
          <w:b w:val="0"/>
          <w:bCs w:val="0"/>
          <w:spacing w:val="0"/>
          <w:kern w:val="0"/>
          <w:sz w:val="44"/>
          <w:szCs w:val="44"/>
          <w:u w:val="none"/>
          <w:lang w:val="en-US" w:eastAsia="zh-CN" w:bidi="ar"/>
        </w:rPr>
        <w:t>总体规划（2021—2035年）</w:t>
      </w:r>
      <w:r>
        <w:rPr>
          <w:rFonts w:hint="eastAsia" w:ascii="方正小标宋简体" w:hAnsi="方正小标宋简体" w:eastAsia="方正小标宋简体" w:cs="方正小标宋简体"/>
          <w:b w:val="0"/>
          <w:bCs w:val="0"/>
          <w:kern w:val="0"/>
          <w:sz w:val="44"/>
          <w:szCs w:val="44"/>
          <w:u w:val="none"/>
          <w:lang w:bidi="ar"/>
        </w:rPr>
        <w:t>的通知</w:t>
      </w:r>
    </w:p>
    <w:p>
      <w:pPr>
        <w:keepNext w:val="0"/>
        <w:keepLines w:val="0"/>
        <w:pageBreakBefore w:val="0"/>
        <w:widowControl w:val="0"/>
        <w:kinsoku/>
        <w:wordWrap/>
        <w:overflowPunct/>
        <w:topLinePunct w:val="0"/>
        <w:autoSpaceDE/>
        <w:autoSpaceDN/>
        <w:bidi w:val="0"/>
        <w:spacing w:line="579" w:lineRule="exact"/>
        <w:ind w:left="0" w:leftChars="0" w:right="0" w:rightChars="0" w:firstLine="0" w:firstLineChars="0"/>
        <w:textAlignment w:val="auto"/>
        <w:outlineLvl w:val="9"/>
        <w:rPr>
          <w:rFonts w:hint="eastAsia" w:ascii="仿宋_GB2312" w:cs="Times New Roman"/>
          <w:b w:val="0"/>
          <w:bCs w:val="0"/>
          <w:sz w:val="32"/>
          <w:szCs w:val="32"/>
          <w:u w:val="none"/>
        </w:rPr>
      </w:pPr>
    </w:p>
    <w:p>
      <w:pPr>
        <w:keepNext w:val="0"/>
        <w:keepLines w:val="0"/>
        <w:pageBreakBefore w:val="0"/>
        <w:widowControl w:val="0"/>
        <w:kinsoku/>
        <w:wordWrap/>
        <w:overflowPunct/>
        <w:topLinePunct w:val="0"/>
        <w:autoSpaceDE/>
        <w:autoSpaceDN/>
        <w:bidi w:val="0"/>
        <w:spacing w:line="579" w:lineRule="exact"/>
        <w:ind w:left="0" w:leftChars="0" w:right="0" w:rightChars="0" w:firstLine="0" w:firstLineChars="0"/>
        <w:textAlignment w:val="auto"/>
        <w:outlineLvl w:val="9"/>
        <w:rPr>
          <w:rFonts w:hint="eastAsia" w:ascii="仿宋_GB2312" w:hAnsi="仿宋_GB2312" w:eastAsia="仿宋_GB2312" w:cs="仿宋_GB2312"/>
          <w:b w:val="0"/>
          <w:bCs w:val="0"/>
          <w:sz w:val="32"/>
          <w:szCs w:val="32"/>
          <w:u w:val="none"/>
        </w:rPr>
      </w:pPr>
      <w:r>
        <w:rPr>
          <w:rFonts w:hint="eastAsia" w:ascii="仿宋_GB2312" w:hAnsi="仿宋_GB2312" w:eastAsia="仿宋_GB2312" w:cs="仿宋_GB2312"/>
          <w:b w:val="0"/>
          <w:bCs w:val="0"/>
          <w:sz w:val="32"/>
          <w:szCs w:val="32"/>
          <w:u w:val="none"/>
        </w:rPr>
        <w:t>各区政府（管委会），市</w:t>
      </w:r>
      <w:r>
        <w:rPr>
          <w:rFonts w:hint="eastAsia" w:ascii="仿宋_GB2312" w:hAnsi="仿宋_GB2312" w:eastAsia="仿宋_GB2312" w:cs="仿宋_GB2312"/>
          <w:b w:val="0"/>
          <w:bCs w:val="0"/>
          <w:sz w:val="32"/>
          <w:szCs w:val="32"/>
          <w:u w:val="none"/>
          <w:lang w:eastAsia="zh-CN"/>
        </w:rPr>
        <w:t>政</w:t>
      </w:r>
      <w:r>
        <w:rPr>
          <w:rFonts w:hint="eastAsia" w:ascii="仿宋_GB2312" w:hAnsi="仿宋_GB2312" w:eastAsia="仿宋_GB2312" w:cs="仿宋_GB2312"/>
          <w:b w:val="0"/>
          <w:bCs w:val="0"/>
          <w:sz w:val="32"/>
          <w:szCs w:val="32"/>
          <w:u w:val="none"/>
        </w:rPr>
        <w:t>府各</w:t>
      </w:r>
      <w:r>
        <w:rPr>
          <w:rFonts w:hint="eastAsia" w:ascii="仿宋_GB2312" w:hAnsi="仿宋_GB2312" w:eastAsia="仿宋_GB2312" w:cs="仿宋_GB2312"/>
          <w:b w:val="0"/>
          <w:bCs w:val="0"/>
          <w:sz w:val="32"/>
          <w:szCs w:val="32"/>
          <w:u w:val="none"/>
          <w:lang w:eastAsia="zh-CN"/>
        </w:rPr>
        <w:t>部门、各直属机构</w:t>
      </w:r>
      <w:r>
        <w:rPr>
          <w:rFonts w:hint="eastAsia" w:ascii="仿宋_GB2312" w:hAnsi="仿宋_GB2312" w:eastAsia="仿宋_GB2312" w:cs="仿宋_GB2312"/>
          <w:b w:val="0"/>
          <w:bCs w:val="0"/>
          <w:sz w:val="32"/>
          <w:szCs w:val="32"/>
          <w:u w:val="none"/>
        </w:rPr>
        <w:t>：</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b w:val="0"/>
          <w:bCs w:val="0"/>
          <w:sz w:val="32"/>
          <w:szCs w:val="32"/>
          <w:u w:val="none"/>
          <w:lang w:eastAsia="zh-CN"/>
        </w:rPr>
      </w:pPr>
      <w:r>
        <w:rPr>
          <w:rFonts w:hint="eastAsia" w:ascii="仿宋_GB2312" w:hAnsi="仿宋_GB2312" w:eastAsia="仿宋_GB2312" w:cs="仿宋_GB2312"/>
          <w:b w:val="0"/>
          <w:bCs w:val="0"/>
          <w:sz w:val="32"/>
          <w:szCs w:val="32"/>
          <w:u w:val="none"/>
          <w:lang w:eastAsia="zh-CN"/>
        </w:rPr>
        <w:t>《</w:t>
      </w:r>
      <w:r>
        <w:rPr>
          <w:rFonts w:hint="eastAsia" w:ascii="仿宋_GB2312" w:hAnsi="仿宋_GB2312" w:eastAsia="仿宋_GB2312" w:cs="仿宋_GB2312"/>
          <w:b w:val="0"/>
          <w:bCs w:val="0"/>
          <w:sz w:val="32"/>
          <w:szCs w:val="32"/>
          <w:u w:val="none"/>
          <w:lang w:val="en-US" w:eastAsia="zh-CN"/>
        </w:rPr>
        <w:t>珠海</w:t>
      </w:r>
      <w:r>
        <w:rPr>
          <w:rFonts w:hint="eastAsia" w:ascii="仿宋_GB2312" w:hAnsi="仿宋_GB2312" w:eastAsia="仿宋_GB2312" w:cs="仿宋_GB2312"/>
          <w:b w:val="0"/>
          <w:bCs w:val="0"/>
          <w:sz w:val="32"/>
          <w:szCs w:val="32"/>
          <w:u w:val="none"/>
          <w:lang w:eastAsia="zh-CN"/>
        </w:rPr>
        <w:t>市国土空间总体规划（2021—2035年）》已经省人民政府批复同意，现印发给你们，请认真组织实施。实施过程中遇到的问题，请径向市自然资源局反映。</w:t>
      </w:r>
    </w:p>
    <w:p>
      <w:pPr>
        <w:keepNext w:val="0"/>
        <w:keepLines w:val="0"/>
        <w:pageBreakBefore w:val="0"/>
        <w:widowControl w:val="0"/>
        <w:kinsoku/>
        <w:wordWrap/>
        <w:overflowPunct/>
        <w:topLinePunct w:val="0"/>
        <w:autoSpaceDE/>
        <w:autoSpaceDN/>
        <w:bidi w:val="0"/>
        <w:adjustRightInd/>
        <w:snapToGrid/>
        <w:spacing w:after="0" w:line="579" w:lineRule="exact"/>
        <w:ind w:firstLine="640" w:firstLineChars="200"/>
        <w:jc w:val="both"/>
        <w:textAlignment w:val="auto"/>
        <w:rPr>
          <w:rFonts w:hint="eastAsia" w:ascii="仿宋_GB2312" w:hAnsi="仿宋_GB2312" w:eastAsia="仿宋_GB2312" w:cs="仿宋_GB2312"/>
          <w:b w:val="0"/>
          <w:bCs w:val="0"/>
          <w:kern w:val="2"/>
          <w:sz w:val="32"/>
          <w:szCs w:val="32"/>
          <w:u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0" w:line="579" w:lineRule="exact"/>
        <w:ind w:left="1704" w:leftChars="248" w:hanging="960" w:hangingChars="300"/>
        <w:jc w:val="both"/>
        <w:textAlignment w:val="auto"/>
        <w:rPr>
          <w:rFonts w:hint="eastAsia" w:ascii="仿宋_GB2312" w:hAnsi="仿宋_GB2312" w:eastAsia="仿宋_GB2312" w:cs="仿宋_GB2312"/>
          <w:b w:val="0"/>
          <w:bCs w:val="0"/>
          <w:kern w:val="2"/>
          <w:sz w:val="32"/>
          <w:szCs w:val="32"/>
          <w:u w:val="none"/>
          <w:lang w:val="en-US" w:eastAsia="zh-CN" w:bidi="ar-SA"/>
        </w:rPr>
      </w:pPr>
      <w:r>
        <w:rPr>
          <w:rFonts w:hint="eastAsia" w:ascii="仿宋_GB2312" w:hAnsi="仿宋_GB2312" w:eastAsia="仿宋_GB2312" w:cs="仿宋_GB2312"/>
          <w:b w:val="0"/>
          <w:bCs w:val="0"/>
          <w:kern w:val="2"/>
          <w:sz w:val="32"/>
          <w:szCs w:val="32"/>
          <w:u w:val="none"/>
          <w:lang w:val="en-US" w:eastAsia="zh-CN" w:bidi="ar-SA"/>
        </w:rPr>
        <w:t>附件：珠海市国土空间总体规划（2021—2035年）</w:t>
      </w:r>
    </w:p>
    <w:p>
      <w:pPr>
        <w:keepNext w:val="0"/>
        <w:keepLines w:val="0"/>
        <w:pageBreakBefore w:val="0"/>
        <w:widowControl w:val="0"/>
        <w:kinsoku/>
        <w:wordWrap/>
        <w:overflowPunct/>
        <w:topLinePunct w:val="0"/>
        <w:autoSpaceDE/>
        <w:bidi w:val="0"/>
        <w:spacing w:after="0" w:line="579" w:lineRule="exact"/>
        <w:jc w:val="both"/>
        <w:textAlignment w:val="auto"/>
        <w:rPr>
          <w:rFonts w:hint="eastAsia" w:ascii="仿宋_GB2312" w:hAnsi="仿宋_GB2312" w:eastAsia="仿宋_GB2312" w:cs="仿宋_GB2312"/>
          <w:b w:val="0"/>
          <w:bCs w:val="0"/>
          <w:kern w:val="2"/>
          <w:sz w:val="32"/>
          <w:szCs w:val="32"/>
          <w:u w:val="none"/>
          <w:lang w:val="en-US" w:eastAsia="zh-CN" w:bidi="ar-SA"/>
        </w:rPr>
      </w:pPr>
    </w:p>
    <w:p>
      <w:pPr>
        <w:keepNext w:val="0"/>
        <w:keepLines w:val="0"/>
        <w:pageBreakBefore w:val="0"/>
        <w:widowControl w:val="0"/>
        <w:kinsoku/>
        <w:wordWrap/>
        <w:overflowPunct/>
        <w:topLinePunct w:val="0"/>
        <w:autoSpaceDE/>
        <w:bidi w:val="0"/>
        <w:spacing w:after="0" w:line="579" w:lineRule="exact"/>
        <w:jc w:val="both"/>
        <w:textAlignment w:val="auto"/>
        <w:rPr>
          <w:rFonts w:hint="eastAsia" w:ascii="仿宋_GB2312" w:hAnsi="仿宋_GB2312" w:eastAsia="仿宋_GB2312" w:cs="仿宋_GB2312"/>
          <w:b w:val="0"/>
          <w:bCs w:val="0"/>
          <w:kern w:val="2"/>
          <w:sz w:val="32"/>
          <w:szCs w:val="32"/>
          <w:u w:val="none"/>
          <w:lang w:val="en-US" w:eastAsia="zh-CN" w:bidi="ar-SA"/>
        </w:rPr>
      </w:pPr>
    </w:p>
    <w:p>
      <w:pPr>
        <w:keepNext w:val="0"/>
        <w:keepLines w:val="0"/>
        <w:pageBreakBefore w:val="0"/>
        <w:widowControl w:val="0"/>
        <w:kinsoku/>
        <w:wordWrap/>
        <w:overflowPunct/>
        <w:topLinePunct w:val="0"/>
        <w:autoSpaceDE/>
        <w:bidi w:val="0"/>
        <w:spacing w:after="0" w:line="579" w:lineRule="exact"/>
        <w:jc w:val="both"/>
        <w:textAlignment w:val="auto"/>
        <w:rPr>
          <w:rFonts w:hint="eastAsia" w:ascii="仿宋_GB2312" w:hAnsi="仿宋_GB2312" w:eastAsia="仿宋_GB2312" w:cs="仿宋_GB2312"/>
          <w:b w:val="0"/>
          <w:bCs w:val="0"/>
          <w:kern w:val="2"/>
          <w:sz w:val="32"/>
          <w:szCs w:val="32"/>
          <w:u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0" w:line="579" w:lineRule="exact"/>
        <w:ind w:firstLine="5120" w:firstLineChars="1600"/>
        <w:jc w:val="both"/>
        <w:textAlignment w:val="auto"/>
        <w:rPr>
          <w:rFonts w:hint="eastAsia" w:ascii="仿宋_GB2312" w:hAnsi="仿宋_GB2312" w:eastAsia="仿宋_GB2312" w:cs="仿宋_GB2312"/>
          <w:b w:val="0"/>
          <w:bCs w:val="0"/>
          <w:kern w:val="2"/>
          <w:sz w:val="32"/>
          <w:szCs w:val="32"/>
          <w:u w:val="none"/>
          <w:lang w:val="en-US" w:eastAsia="zh-CN" w:bidi="ar-SA"/>
        </w:rPr>
      </w:pPr>
      <w:r>
        <w:rPr>
          <w:rFonts w:hint="eastAsia" w:ascii="仿宋_GB2312" w:hAnsi="仿宋_GB2312" w:eastAsia="仿宋_GB2312" w:cs="仿宋_GB2312"/>
          <w:b w:val="0"/>
          <w:bCs w:val="0"/>
          <w:kern w:val="2"/>
          <w:sz w:val="32"/>
          <w:szCs w:val="32"/>
          <w:u w:val="none"/>
          <w:lang w:val="en-US" w:eastAsia="zh-CN" w:bidi="ar-SA"/>
        </w:rPr>
        <w:t>珠海市人民政府</w:t>
      </w:r>
    </w:p>
    <w:p>
      <w:pPr>
        <w:keepNext w:val="0"/>
        <w:keepLines w:val="0"/>
        <w:pageBreakBefore w:val="0"/>
        <w:widowControl w:val="0"/>
        <w:kinsoku/>
        <w:wordWrap/>
        <w:overflowPunct/>
        <w:topLinePunct w:val="0"/>
        <w:autoSpaceDE/>
        <w:autoSpaceDN/>
        <w:bidi w:val="0"/>
        <w:adjustRightInd/>
        <w:snapToGrid/>
        <w:spacing w:after="0" w:line="579" w:lineRule="exact"/>
        <w:ind w:firstLine="4960" w:firstLineChars="1550"/>
        <w:jc w:val="both"/>
        <w:textAlignment w:val="auto"/>
        <w:rPr>
          <w:rFonts w:hint="eastAsia" w:ascii="仿宋_GB2312" w:hAnsi="仿宋_GB2312" w:eastAsia="仿宋_GB2312" w:cs="仿宋_GB2312"/>
          <w:b w:val="0"/>
          <w:bCs w:val="0"/>
          <w:kern w:val="2"/>
          <w:sz w:val="32"/>
          <w:szCs w:val="32"/>
          <w:u w:val="none"/>
          <w:lang w:val="en-US" w:eastAsia="zh-CN" w:bidi="ar-SA"/>
        </w:rPr>
      </w:pPr>
      <w:r>
        <w:rPr>
          <w:rFonts w:hint="eastAsia" w:ascii="仿宋_GB2312" w:hAnsi="仿宋_GB2312" w:eastAsia="仿宋_GB2312" w:cs="仿宋_GB2312"/>
          <w:b w:val="0"/>
          <w:bCs w:val="0"/>
          <w:kern w:val="2"/>
          <w:sz w:val="32"/>
          <w:szCs w:val="32"/>
          <w:u w:val="none"/>
          <w:lang w:val="en-US" w:eastAsia="zh-CN" w:bidi="ar-SA"/>
        </w:rPr>
        <w:t>2024年</w:t>
      </w:r>
      <w:r>
        <w:rPr>
          <w:rFonts w:hint="default" w:ascii="仿宋_GB2312" w:hAnsi="仿宋_GB2312" w:eastAsia="仿宋_GB2312" w:cs="仿宋_GB2312"/>
          <w:b w:val="0"/>
          <w:bCs w:val="0"/>
          <w:kern w:val="2"/>
          <w:sz w:val="32"/>
          <w:szCs w:val="32"/>
          <w:u w:val="none"/>
          <w:lang w:val="en" w:eastAsia="zh-CN" w:bidi="ar-SA"/>
        </w:rPr>
        <w:t>1</w:t>
      </w:r>
      <w:r>
        <w:rPr>
          <w:rFonts w:hint="eastAsia" w:ascii="仿宋_GB2312" w:hAnsi="仿宋_GB2312" w:eastAsia="仿宋_GB2312" w:cs="仿宋_GB2312"/>
          <w:b w:val="0"/>
          <w:bCs w:val="0"/>
          <w:kern w:val="2"/>
          <w:sz w:val="32"/>
          <w:szCs w:val="32"/>
          <w:u w:val="none"/>
          <w:lang w:val="en-US" w:eastAsia="zh-CN" w:bidi="ar-SA"/>
        </w:rPr>
        <w:t>2月</w:t>
      </w:r>
      <w:r>
        <w:rPr>
          <w:rFonts w:hint="default" w:ascii="仿宋_GB2312" w:hAnsi="仿宋_GB2312" w:eastAsia="仿宋_GB2312" w:cs="仿宋_GB2312"/>
          <w:b w:val="0"/>
          <w:bCs w:val="0"/>
          <w:kern w:val="2"/>
          <w:sz w:val="32"/>
          <w:szCs w:val="32"/>
          <w:u w:val="none"/>
          <w:lang w:val="en" w:eastAsia="zh-CN" w:bidi="ar-SA"/>
        </w:rPr>
        <w:t>31</w:t>
      </w:r>
      <w:r>
        <w:rPr>
          <w:rFonts w:hint="eastAsia" w:ascii="仿宋_GB2312" w:hAnsi="仿宋_GB2312" w:eastAsia="仿宋_GB2312" w:cs="仿宋_GB2312"/>
          <w:b w:val="0"/>
          <w:bCs w:val="0"/>
          <w:kern w:val="2"/>
          <w:sz w:val="32"/>
          <w:szCs w:val="32"/>
          <w:u w:val="none"/>
          <w:lang w:val="en-US" w:eastAsia="zh-CN" w:bidi="ar-SA"/>
        </w:rPr>
        <w:t>日</w:t>
      </w:r>
    </w:p>
    <w:p>
      <w:pPr>
        <w:keepNext w:val="0"/>
        <w:keepLines w:val="0"/>
        <w:pageBreakBefore w:val="0"/>
        <w:widowControl w:val="0"/>
        <w:kinsoku/>
        <w:wordWrap/>
        <w:overflowPunct/>
        <w:topLinePunct w:val="0"/>
        <w:autoSpaceDE/>
        <w:bidi w:val="0"/>
        <w:spacing w:after="0" w:line="579" w:lineRule="exact"/>
        <w:ind w:firstLine="640"/>
        <w:textAlignment w:val="auto"/>
        <w:rPr>
          <w:rFonts w:hint="eastAsia" w:ascii="仿宋_GB2312" w:hAnsi="仿宋_GB2312" w:cs="仿宋_GB2312"/>
          <w:b w:val="0"/>
          <w:bCs w:val="0"/>
          <w:u w:val="none"/>
          <w:lang w:val="en-US" w:eastAsia="zh-CN"/>
        </w:rPr>
        <w:sectPr>
          <w:pgSz w:w="11906" w:h="16838"/>
          <w:pgMar w:top="2041" w:right="1531" w:bottom="2041" w:left="1531" w:header="851" w:footer="1531" w:gutter="0"/>
          <w:paperSrc/>
          <w:pgNumType w:fmt="decimal"/>
          <w:cols w:space="720" w:num="1"/>
          <w:rtlGutter w:val="0"/>
          <w:docGrid w:type="linesAndChars" w:linePitch="607" w:charSpace="0"/>
        </w:sectPr>
      </w:pPr>
    </w:p>
    <w:p>
      <w:pPr>
        <w:keepNext w:val="0"/>
        <w:keepLines w:val="0"/>
        <w:pageBreakBefore w:val="0"/>
        <w:widowControl w:val="0"/>
        <w:tabs>
          <w:tab w:val="left" w:pos="3000"/>
        </w:tabs>
        <w:kinsoku/>
        <w:wordWrap/>
        <w:overflowPunct/>
        <w:topLinePunct w:val="0"/>
        <w:autoSpaceDE/>
        <w:bidi w:val="0"/>
        <w:spacing w:line="579" w:lineRule="exact"/>
        <w:ind w:left="0" w:leftChars="0" w:firstLine="0" w:firstLineChars="0"/>
        <w:textAlignment w:val="auto"/>
        <w:rPr>
          <w:rFonts w:eastAsia="黑体"/>
          <w:b w:val="0"/>
          <w:bCs w:val="0"/>
          <w:sz w:val="52"/>
          <w:szCs w:val="52"/>
          <w:u w:val="none"/>
        </w:rPr>
      </w:pPr>
    </w:p>
    <w:p>
      <w:pPr>
        <w:ind w:firstLine="0" w:firstLineChars="0"/>
        <w:jc w:val="center"/>
        <w:rPr>
          <w:rFonts w:eastAsia="黑体"/>
          <w:b w:val="0"/>
          <w:bCs w:val="0"/>
          <w:sz w:val="52"/>
          <w:szCs w:val="52"/>
          <w:u w:val="none"/>
        </w:rPr>
      </w:pPr>
    </w:p>
    <w:p>
      <w:pPr>
        <w:pStyle w:val="2"/>
        <w:rPr>
          <w:rFonts w:eastAsia="黑体"/>
          <w:b w:val="0"/>
          <w:bCs w:val="0"/>
          <w:sz w:val="52"/>
          <w:szCs w:val="52"/>
          <w:u w:val="none"/>
        </w:rPr>
      </w:pPr>
    </w:p>
    <w:p>
      <w:pPr>
        <w:rPr>
          <w:rFonts w:eastAsia="黑体"/>
          <w:b w:val="0"/>
          <w:bCs w:val="0"/>
          <w:sz w:val="52"/>
          <w:szCs w:val="52"/>
          <w:u w:val="none"/>
        </w:rPr>
      </w:pPr>
    </w:p>
    <w:p>
      <w:pPr>
        <w:pStyle w:val="2"/>
        <w:rPr>
          <w:rFonts w:eastAsia="黑体"/>
          <w:b w:val="0"/>
          <w:bCs w:val="0"/>
          <w:sz w:val="52"/>
          <w:szCs w:val="52"/>
          <w:u w:val="none"/>
        </w:rPr>
      </w:pPr>
    </w:p>
    <w:p>
      <w:pPr>
        <w:rPr>
          <w:rFonts w:eastAsia="黑体"/>
          <w:b w:val="0"/>
          <w:bCs w:val="0"/>
          <w:sz w:val="52"/>
          <w:szCs w:val="52"/>
          <w:u w:val="none"/>
        </w:rPr>
      </w:pPr>
    </w:p>
    <w:p>
      <w:pPr>
        <w:pStyle w:val="2"/>
        <w:rPr>
          <w:rFonts w:eastAsia="黑体"/>
          <w:b w:val="0"/>
          <w:bCs w:val="0"/>
          <w:sz w:val="52"/>
          <w:szCs w:val="52"/>
          <w:u w:val="none"/>
        </w:rPr>
      </w:pPr>
    </w:p>
    <w:p>
      <w:pPr>
        <w:rPr>
          <w:rFonts w:eastAsia="黑体"/>
          <w:b w:val="0"/>
          <w:bCs w:val="0"/>
          <w:sz w:val="52"/>
          <w:szCs w:val="52"/>
          <w:u w:val="none"/>
        </w:rPr>
      </w:pPr>
    </w:p>
    <w:p>
      <w:pPr>
        <w:pStyle w:val="2"/>
        <w:rPr>
          <w:rFonts w:eastAsia="黑体"/>
          <w:b w:val="0"/>
          <w:bCs w:val="0"/>
          <w:sz w:val="52"/>
          <w:szCs w:val="52"/>
          <w:u w:val="none"/>
        </w:rPr>
      </w:pPr>
    </w:p>
    <w:p>
      <w:pPr>
        <w:rPr>
          <w:rFonts w:eastAsia="黑体"/>
          <w:b w:val="0"/>
          <w:bCs w:val="0"/>
          <w:sz w:val="52"/>
          <w:szCs w:val="52"/>
          <w:u w:val="none"/>
        </w:rPr>
      </w:pPr>
    </w:p>
    <w:p>
      <w:pPr>
        <w:pStyle w:val="2"/>
        <w:rPr>
          <w:rFonts w:eastAsia="黑体"/>
          <w:b w:val="0"/>
          <w:bCs w:val="0"/>
          <w:sz w:val="52"/>
          <w:szCs w:val="52"/>
          <w:u w:val="none"/>
        </w:rPr>
      </w:pPr>
    </w:p>
    <w:p>
      <w:pPr>
        <w:rPr>
          <w:rFonts w:eastAsia="黑体"/>
          <w:b w:val="0"/>
          <w:bCs w:val="0"/>
          <w:sz w:val="52"/>
          <w:szCs w:val="52"/>
          <w:u w:val="none"/>
        </w:rPr>
      </w:pPr>
    </w:p>
    <w:p>
      <w:pPr>
        <w:pStyle w:val="2"/>
        <w:rPr>
          <w:rFonts w:eastAsia="黑体"/>
          <w:b w:val="0"/>
          <w:bCs w:val="0"/>
          <w:sz w:val="52"/>
          <w:szCs w:val="52"/>
          <w:u w:val="none"/>
        </w:rPr>
      </w:pPr>
    </w:p>
    <w:p>
      <w:pPr>
        <w:rPr>
          <w:rFonts w:eastAsia="黑体"/>
          <w:b w:val="0"/>
          <w:bCs w:val="0"/>
          <w:sz w:val="52"/>
          <w:szCs w:val="52"/>
          <w:u w:val="none"/>
        </w:rPr>
      </w:pPr>
    </w:p>
    <w:p>
      <w:pPr>
        <w:pStyle w:val="2"/>
        <w:rPr>
          <w:rFonts w:eastAsia="黑体"/>
          <w:b w:val="0"/>
          <w:bCs w:val="0"/>
          <w:sz w:val="52"/>
          <w:szCs w:val="52"/>
          <w:u w:val="none"/>
        </w:rPr>
      </w:pPr>
    </w:p>
    <w:p>
      <w:pPr>
        <w:rPr>
          <w:rFonts w:eastAsia="黑体"/>
          <w:b w:val="0"/>
          <w:bCs w:val="0"/>
          <w:sz w:val="52"/>
          <w:szCs w:val="52"/>
          <w:u w:val="none"/>
        </w:rPr>
      </w:pPr>
    </w:p>
    <w:p>
      <w:pPr>
        <w:pStyle w:val="2"/>
        <w:rPr>
          <w:rFonts w:eastAsia="黑体"/>
          <w:b w:val="0"/>
          <w:bCs w:val="0"/>
          <w:sz w:val="52"/>
          <w:szCs w:val="52"/>
          <w:u w:val="none"/>
        </w:rPr>
      </w:pPr>
    </w:p>
    <w:p>
      <w:pPr>
        <w:rPr>
          <w:rFonts w:eastAsia="黑体"/>
          <w:b w:val="0"/>
          <w:bCs w:val="0"/>
          <w:sz w:val="52"/>
          <w:szCs w:val="52"/>
          <w:u w:val="none"/>
        </w:rPr>
      </w:pPr>
    </w:p>
    <w:p>
      <w:pPr>
        <w:pStyle w:val="2"/>
        <w:rPr>
          <w:rFonts w:eastAsia="黑体"/>
          <w:b w:val="0"/>
          <w:bCs w:val="0"/>
          <w:sz w:val="52"/>
          <w:szCs w:val="52"/>
          <w:u w:val="none"/>
        </w:rPr>
      </w:pPr>
    </w:p>
    <w:p>
      <w:pPr>
        <w:rPr>
          <w:rFonts w:eastAsia="黑体"/>
          <w:b w:val="0"/>
          <w:bCs w:val="0"/>
          <w:sz w:val="52"/>
          <w:szCs w:val="52"/>
          <w:u w:val="none"/>
        </w:rPr>
      </w:pPr>
    </w:p>
    <w:p>
      <w:pPr>
        <w:pStyle w:val="2"/>
        <w:rPr>
          <w:rFonts w:eastAsia="黑体"/>
          <w:b w:val="0"/>
          <w:bCs w:val="0"/>
          <w:sz w:val="52"/>
          <w:szCs w:val="52"/>
          <w:u w:val="none"/>
        </w:rPr>
      </w:pPr>
    </w:p>
    <w:p>
      <w:pPr>
        <w:rPr>
          <w:rFonts w:eastAsia="黑体"/>
          <w:b w:val="0"/>
          <w:bCs w:val="0"/>
          <w:sz w:val="52"/>
          <w:szCs w:val="52"/>
          <w:u w:val="none"/>
        </w:rPr>
      </w:pPr>
    </w:p>
    <w:p>
      <w:pPr>
        <w:pStyle w:val="2"/>
        <w:rPr>
          <w:rFonts w:eastAsia="黑体"/>
          <w:b w:val="0"/>
          <w:bCs w:val="0"/>
          <w:sz w:val="52"/>
          <w:szCs w:val="52"/>
          <w:u w:val="none"/>
        </w:rPr>
      </w:pPr>
    </w:p>
    <w:p/>
    <w:p/>
    <w:p>
      <w:pPr>
        <w:ind w:firstLine="0" w:firstLineChars="0"/>
        <w:jc w:val="center"/>
        <w:rPr>
          <w:rFonts w:hint="eastAsia" w:eastAsia="黑体"/>
          <w:b w:val="0"/>
          <w:bCs w:val="0"/>
          <w:sz w:val="52"/>
          <w:szCs w:val="52"/>
          <w:u w:val="none"/>
        </w:rPr>
      </w:pPr>
      <w:r>
        <w:rPr>
          <w:rFonts w:hint="eastAsia" w:eastAsia="黑体"/>
          <w:b w:val="0"/>
          <w:bCs w:val="0"/>
          <w:sz w:val="52"/>
          <w:szCs w:val="52"/>
          <w:u w:val="none"/>
        </w:rPr>
        <w:t>珠海市国土空间总体规划</w:t>
      </w:r>
    </w:p>
    <w:p>
      <w:pPr>
        <w:ind w:firstLine="0" w:firstLineChars="0"/>
        <w:jc w:val="center"/>
        <w:rPr>
          <w:rFonts w:hint="eastAsia" w:eastAsia="黑体"/>
          <w:b w:val="0"/>
          <w:bCs w:val="0"/>
          <w:sz w:val="52"/>
          <w:szCs w:val="52"/>
          <w:u w:val="none"/>
        </w:rPr>
      </w:pPr>
      <w:r>
        <w:rPr>
          <w:rFonts w:hint="eastAsia" w:eastAsia="黑体"/>
          <w:b w:val="0"/>
          <w:bCs w:val="0"/>
          <w:sz w:val="52"/>
          <w:szCs w:val="52"/>
          <w:u w:val="none"/>
        </w:rPr>
        <w:t>(2021-2035年)</w:t>
      </w:r>
    </w:p>
    <w:p>
      <w:pPr>
        <w:ind w:firstLine="0" w:firstLineChars="0"/>
        <w:jc w:val="center"/>
        <w:rPr>
          <w:rFonts w:hint="eastAsia" w:eastAsia="黑体"/>
          <w:b w:val="0"/>
          <w:bCs w:val="0"/>
          <w:sz w:val="52"/>
          <w:szCs w:val="52"/>
          <w:u w:val="none"/>
        </w:rPr>
      </w:pPr>
    </w:p>
    <w:p>
      <w:pPr>
        <w:ind w:firstLine="0" w:firstLineChars="0"/>
        <w:jc w:val="center"/>
        <w:rPr>
          <w:rFonts w:hint="eastAsia" w:eastAsia="黑体"/>
          <w:b w:val="0"/>
          <w:bCs w:val="0"/>
          <w:sz w:val="52"/>
          <w:szCs w:val="52"/>
          <w:u w:val="none"/>
        </w:rPr>
      </w:pPr>
      <w:r>
        <w:rPr>
          <w:rFonts w:hint="eastAsia" w:eastAsia="黑体"/>
          <w:b w:val="0"/>
          <w:bCs w:val="0"/>
          <w:sz w:val="52"/>
          <w:szCs w:val="52"/>
          <w:u w:val="none"/>
        </w:rPr>
        <w:t>文  本</w:t>
      </w:r>
    </w:p>
    <w:p>
      <w:pPr>
        <w:jc w:val="center"/>
        <w:rPr>
          <w:b w:val="0"/>
          <w:bCs w:val="0"/>
          <w:sz w:val="44"/>
          <w:szCs w:val="36"/>
          <w:u w:val="none"/>
        </w:rPr>
      </w:pPr>
    </w:p>
    <w:p>
      <w:pPr>
        <w:jc w:val="center"/>
        <w:rPr>
          <w:b w:val="0"/>
          <w:bCs w:val="0"/>
          <w:sz w:val="44"/>
          <w:szCs w:val="36"/>
          <w:u w:val="none"/>
        </w:rPr>
      </w:pPr>
    </w:p>
    <w:p>
      <w:pPr>
        <w:jc w:val="center"/>
        <w:rPr>
          <w:b w:val="0"/>
          <w:bCs w:val="0"/>
          <w:sz w:val="44"/>
          <w:szCs w:val="36"/>
          <w:u w:val="none"/>
        </w:rPr>
      </w:pPr>
    </w:p>
    <w:p>
      <w:pPr>
        <w:jc w:val="center"/>
        <w:rPr>
          <w:b w:val="0"/>
          <w:bCs w:val="0"/>
          <w:sz w:val="44"/>
          <w:szCs w:val="36"/>
          <w:u w:val="none"/>
        </w:rPr>
      </w:pPr>
    </w:p>
    <w:p>
      <w:pPr>
        <w:jc w:val="center"/>
        <w:rPr>
          <w:b w:val="0"/>
          <w:bCs w:val="0"/>
          <w:sz w:val="44"/>
          <w:szCs w:val="36"/>
          <w:u w:val="none"/>
        </w:rPr>
      </w:pPr>
    </w:p>
    <w:p>
      <w:pPr>
        <w:jc w:val="center"/>
        <w:rPr>
          <w:b w:val="0"/>
          <w:bCs w:val="0"/>
          <w:sz w:val="44"/>
          <w:szCs w:val="36"/>
          <w:u w:val="none"/>
        </w:rPr>
      </w:pPr>
    </w:p>
    <w:p>
      <w:pPr>
        <w:jc w:val="center"/>
        <w:rPr>
          <w:b w:val="0"/>
          <w:bCs w:val="0"/>
          <w:sz w:val="44"/>
          <w:szCs w:val="36"/>
          <w:u w:val="none"/>
        </w:rPr>
      </w:pPr>
    </w:p>
    <w:p>
      <w:pPr>
        <w:ind w:firstLine="0" w:firstLineChars="0"/>
        <w:jc w:val="both"/>
        <w:rPr>
          <w:rFonts w:eastAsia="黑体"/>
          <w:b w:val="0"/>
          <w:bCs w:val="0"/>
          <w:sz w:val="32"/>
          <w:szCs w:val="32"/>
          <w:u w:val="none"/>
        </w:rPr>
      </w:pPr>
    </w:p>
    <w:p>
      <w:pPr>
        <w:ind w:firstLine="640"/>
        <w:jc w:val="center"/>
        <w:rPr>
          <w:rFonts w:hint="eastAsia" w:ascii="宋体" w:hAnsi="宋体"/>
          <w:b w:val="0"/>
          <w:bCs w:val="0"/>
          <w:sz w:val="32"/>
          <w:szCs w:val="32"/>
          <w:u w:val="none"/>
        </w:rPr>
        <w:sectPr>
          <w:headerReference r:id="rId7" w:type="first"/>
          <w:footerReference r:id="rId10" w:type="first"/>
          <w:headerReference r:id="rId5" w:type="default"/>
          <w:footerReference r:id="rId8" w:type="default"/>
          <w:headerReference r:id="rId6" w:type="even"/>
          <w:footerReference r:id="rId9" w:type="even"/>
          <w:pgSz w:w="11906" w:h="16838"/>
          <w:pgMar w:top="2041" w:right="1531" w:bottom="2041" w:left="1531" w:header="851" w:footer="1531" w:gutter="0"/>
          <w:paperSrc/>
          <w:pgNumType w:fmt="decimal"/>
          <w:cols w:space="720" w:num="1"/>
          <w:rtlGutter w:val="0"/>
          <w:docGrid w:type="linesAndChars" w:linePitch="607" w:charSpace="0"/>
        </w:sectPr>
      </w:pPr>
    </w:p>
    <w:p>
      <w:pPr>
        <w:ind w:firstLine="0" w:firstLineChars="0"/>
        <w:jc w:val="center"/>
        <w:rPr>
          <w:rFonts w:hint="eastAsia" w:ascii="黑体" w:hAnsi="黑体" w:eastAsia="黑体"/>
          <w:b w:val="0"/>
          <w:bCs w:val="0"/>
          <w:sz w:val="44"/>
          <w:szCs w:val="44"/>
          <w:u w:val="none"/>
        </w:rPr>
      </w:pPr>
      <w:r>
        <w:rPr>
          <w:rFonts w:ascii="黑体" w:hAnsi="黑体" w:eastAsia="黑体"/>
          <w:b w:val="0"/>
          <w:bCs w:val="0"/>
          <w:sz w:val="44"/>
          <w:szCs w:val="44"/>
          <w:u w:val="none"/>
        </w:rPr>
        <w:t>目  录</w:t>
      </w:r>
    </w:p>
    <w:p>
      <w:pPr>
        <w:pStyle w:val="24"/>
        <w:tabs>
          <w:tab w:val="right" w:leader="dot" w:pos="9072"/>
          <w:tab w:val="clear" w:pos="8296"/>
        </w:tabs>
        <w:rPr>
          <w:b w:val="0"/>
          <w:bCs w:val="0"/>
          <w:sz w:val="30"/>
          <w:szCs w:val="30"/>
          <w:u w:val="none"/>
        </w:rPr>
      </w:pPr>
      <w:r>
        <w:rPr>
          <w:b w:val="0"/>
          <w:bCs w:val="0"/>
          <w:sz w:val="30"/>
          <w:szCs w:val="30"/>
          <w:u w:val="none"/>
          <w:lang w:val="zh-CN"/>
        </w:rPr>
        <w:fldChar w:fldCharType="begin"/>
      </w:r>
      <w:r>
        <w:rPr>
          <w:b w:val="0"/>
          <w:bCs w:val="0"/>
          <w:sz w:val="30"/>
          <w:szCs w:val="30"/>
          <w:u w:val="none"/>
          <w:lang w:val="zh-CN"/>
        </w:rPr>
        <w:instrText xml:space="preserve"> TOC \o "1-3" \h \z \u </w:instrText>
      </w:r>
      <w:r>
        <w:rPr>
          <w:b w:val="0"/>
          <w:bCs w:val="0"/>
          <w:sz w:val="30"/>
          <w:szCs w:val="30"/>
          <w:u w:val="none"/>
          <w:lang w:val="zh-CN"/>
        </w:rPr>
        <w:fldChar w:fldCharType="separate"/>
      </w:r>
      <w:r>
        <w:rPr>
          <w:b w:val="0"/>
          <w:bCs w:val="0"/>
          <w:sz w:val="30"/>
          <w:szCs w:val="30"/>
          <w:u w:val="none"/>
          <w:lang w:val="zh-CN"/>
        </w:rPr>
        <w:fldChar w:fldCharType="begin"/>
      </w:r>
      <w:r>
        <w:rPr>
          <w:b w:val="0"/>
          <w:bCs w:val="0"/>
          <w:sz w:val="30"/>
          <w:szCs w:val="30"/>
          <w:u w:val="none"/>
          <w:lang w:val="zh-CN"/>
        </w:rPr>
        <w:instrText xml:space="preserve"> HYPERLINK \l _Toc22630 </w:instrText>
      </w:r>
      <w:r>
        <w:rPr>
          <w:b w:val="0"/>
          <w:bCs w:val="0"/>
          <w:sz w:val="30"/>
          <w:szCs w:val="30"/>
          <w:u w:val="none"/>
          <w:lang w:val="zh-CN"/>
        </w:rPr>
        <w:fldChar w:fldCharType="separate"/>
      </w:r>
      <w:r>
        <w:rPr>
          <w:rFonts w:hint="eastAsia"/>
          <w:b w:val="0"/>
          <w:bCs w:val="0"/>
          <w:sz w:val="30"/>
          <w:szCs w:val="30"/>
          <w:u w:val="none"/>
        </w:rPr>
        <w:t>前  言</w:t>
      </w:r>
      <w:r>
        <w:rPr>
          <w:b w:val="0"/>
          <w:bCs w:val="0"/>
          <w:sz w:val="30"/>
          <w:szCs w:val="30"/>
          <w:u w:val="none"/>
        </w:rPr>
        <w:tab/>
      </w:r>
      <w:r>
        <w:rPr>
          <w:b w:val="0"/>
          <w:bCs w:val="0"/>
          <w:sz w:val="30"/>
          <w:szCs w:val="30"/>
          <w:u w:val="none"/>
        </w:rPr>
        <w:fldChar w:fldCharType="begin"/>
      </w:r>
      <w:r>
        <w:rPr>
          <w:b w:val="0"/>
          <w:bCs w:val="0"/>
          <w:sz w:val="30"/>
          <w:szCs w:val="30"/>
          <w:u w:val="none"/>
        </w:rPr>
        <w:instrText xml:space="preserve"> PAGEREF _Toc22630 \h </w:instrText>
      </w:r>
      <w:r>
        <w:rPr>
          <w:b w:val="0"/>
          <w:bCs w:val="0"/>
          <w:sz w:val="30"/>
          <w:szCs w:val="30"/>
          <w:u w:val="none"/>
        </w:rPr>
        <w:fldChar w:fldCharType="separate"/>
      </w:r>
      <w:r>
        <w:rPr>
          <w:b w:val="0"/>
          <w:bCs w:val="0"/>
          <w:sz w:val="30"/>
          <w:szCs w:val="30"/>
          <w:u w:val="none"/>
        </w:rPr>
        <w:t>1</w:t>
      </w:r>
      <w:r>
        <w:rPr>
          <w:b w:val="0"/>
          <w:bCs w:val="0"/>
          <w:sz w:val="30"/>
          <w:szCs w:val="30"/>
          <w:u w:val="none"/>
        </w:rPr>
        <w:fldChar w:fldCharType="end"/>
      </w:r>
      <w:r>
        <w:rPr>
          <w:b w:val="0"/>
          <w:bCs w:val="0"/>
          <w:sz w:val="30"/>
          <w:szCs w:val="30"/>
          <w:u w:val="none"/>
          <w:lang w:val="zh-CN"/>
        </w:rPr>
        <w:fldChar w:fldCharType="end"/>
      </w:r>
    </w:p>
    <w:p>
      <w:pPr>
        <w:pStyle w:val="24"/>
        <w:tabs>
          <w:tab w:val="right" w:leader="dot" w:pos="9072"/>
          <w:tab w:val="clear" w:pos="8296"/>
        </w:tabs>
        <w:rPr>
          <w:b w:val="0"/>
          <w:bCs w:val="0"/>
          <w:sz w:val="30"/>
          <w:szCs w:val="30"/>
          <w:u w:val="none"/>
        </w:rPr>
      </w:pPr>
      <w:r>
        <w:rPr>
          <w:b w:val="0"/>
          <w:bCs w:val="0"/>
          <w:sz w:val="30"/>
          <w:szCs w:val="30"/>
          <w:u w:val="none"/>
          <w:lang w:val="zh-CN"/>
        </w:rPr>
        <w:fldChar w:fldCharType="begin"/>
      </w:r>
      <w:r>
        <w:rPr>
          <w:b w:val="0"/>
          <w:bCs w:val="0"/>
          <w:sz w:val="30"/>
          <w:szCs w:val="30"/>
          <w:u w:val="none"/>
          <w:lang w:val="zh-CN"/>
        </w:rPr>
        <w:instrText xml:space="preserve"> HYPERLINK \l _Toc31860 </w:instrText>
      </w:r>
      <w:r>
        <w:rPr>
          <w:b w:val="0"/>
          <w:bCs w:val="0"/>
          <w:sz w:val="30"/>
          <w:szCs w:val="30"/>
          <w:u w:val="none"/>
          <w:lang w:val="zh-CN"/>
        </w:rPr>
        <w:fldChar w:fldCharType="separate"/>
      </w:r>
      <w:r>
        <w:rPr>
          <w:rFonts w:hint="eastAsia" w:ascii="Times New Roman" w:hAnsi="Times New Roman" w:eastAsia="黑体" w:cs="黑体"/>
          <w:b w:val="0"/>
          <w:bCs w:val="0"/>
          <w:sz w:val="30"/>
          <w:szCs w:val="30"/>
          <w:u w:val="none"/>
        </w:rPr>
        <w:t xml:space="preserve">第一章 </w:t>
      </w:r>
      <w:r>
        <w:rPr>
          <w:b w:val="0"/>
          <w:bCs w:val="0"/>
          <w:sz w:val="30"/>
          <w:szCs w:val="30"/>
          <w:u w:val="none"/>
        </w:rPr>
        <w:t>总则</w:t>
      </w:r>
      <w:r>
        <w:rPr>
          <w:b w:val="0"/>
          <w:bCs w:val="0"/>
          <w:sz w:val="30"/>
          <w:szCs w:val="30"/>
          <w:u w:val="none"/>
        </w:rPr>
        <w:tab/>
      </w:r>
      <w:r>
        <w:rPr>
          <w:b w:val="0"/>
          <w:bCs w:val="0"/>
          <w:sz w:val="30"/>
          <w:szCs w:val="30"/>
          <w:u w:val="none"/>
        </w:rPr>
        <w:fldChar w:fldCharType="begin"/>
      </w:r>
      <w:r>
        <w:rPr>
          <w:b w:val="0"/>
          <w:bCs w:val="0"/>
          <w:sz w:val="30"/>
          <w:szCs w:val="30"/>
          <w:u w:val="none"/>
        </w:rPr>
        <w:instrText xml:space="preserve"> PAGEREF _Toc31860 \h </w:instrText>
      </w:r>
      <w:r>
        <w:rPr>
          <w:b w:val="0"/>
          <w:bCs w:val="0"/>
          <w:sz w:val="30"/>
          <w:szCs w:val="30"/>
          <w:u w:val="none"/>
        </w:rPr>
        <w:fldChar w:fldCharType="separate"/>
      </w:r>
      <w:r>
        <w:rPr>
          <w:b w:val="0"/>
          <w:bCs w:val="0"/>
          <w:sz w:val="30"/>
          <w:szCs w:val="30"/>
          <w:u w:val="none"/>
        </w:rPr>
        <w:t>2</w:t>
      </w:r>
      <w:r>
        <w:rPr>
          <w:b w:val="0"/>
          <w:bCs w:val="0"/>
          <w:sz w:val="30"/>
          <w:szCs w:val="30"/>
          <w:u w:val="none"/>
        </w:rPr>
        <w:fldChar w:fldCharType="end"/>
      </w:r>
      <w:r>
        <w:rPr>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_Toc6387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rPr>
        <w:t>第1条 编制目的</w:t>
      </w:r>
      <w:r>
        <w:rPr>
          <w:rFonts w:hint="eastAsia" w:ascii="Times New Roman" w:hAnsi="Times New Roman" w:eastAsia="仿宋_GB2312" w:cs="仿宋_GB2312"/>
          <w:b w:val="0"/>
          <w:bCs w:val="0"/>
          <w:sz w:val="30"/>
          <w:szCs w:val="30"/>
          <w:u w:val="none"/>
        </w:rPr>
        <w:tab/>
      </w:r>
      <w:r>
        <w:rPr>
          <w:rFonts w:hint="eastAsia" w:ascii="Times New Roman" w:hAnsi="Times New Roman" w:eastAsia="仿宋_GB2312" w:cs="仿宋_GB2312"/>
          <w:b w:val="0"/>
          <w:bCs w:val="0"/>
          <w:sz w:val="30"/>
          <w:szCs w:val="30"/>
          <w:u w:val="none"/>
        </w:rPr>
        <w:fldChar w:fldCharType="begin"/>
      </w:r>
      <w:r>
        <w:rPr>
          <w:rFonts w:hint="eastAsia" w:ascii="Times New Roman" w:hAnsi="Times New Roman" w:eastAsia="仿宋_GB2312" w:cs="仿宋_GB2312"/>
          <w:b w:val="0"/>
          <w:bCs w:val="0"/>
          <w:sz w:val="30"/>
          <w:szCs w:val="30"/>
          <w:u w:val="none"/>
        </w:rPr>
        <w:instrText xml:space="preserve"> PAGEREF _Toc6387 \h </w:instrText>
      </w:r>
      <w:r>
        <w:rPr>
          <w:rFonts w:hint="eastAsia" w:ascii="Times New Roman" w:hAnsi="Times New Roman" w:eastAsia="仿宋_GB2312" w:cs="仿宋_GB2312"/>
          <w:b w:val="0"/>
          <w:bCs w:val="0"/>
          <w:sz w:val="30"/>
          <w:szCs w:val="30"/>
          <w:u w:val="none"/>
        </w:rPr>
        <w:fldChar w:fldCharType="separate"/>
      </w:r>
      <w:r>
        <w:rPr>
          <w:rFonts w:hint="eastAsia" w:ascii="Times New Roman" w:hAnsi="Times New Roman" w:eastAsia="仿宋_GB2312" w:cs="仿宋_GB2312"/>
          <w:b w:val="0"/>
          <w:bCs w:val="0"/>
          <w:sz w:val="30"/>
          <w:szCs w:val="30"/>
          <w:u w:val="none"/>
        </w:rPr>
        <w:t>2</w:t>
      </w:r>
      <w:r>
        <w:rPr>
          <w:rFonts w:hint="eastAsia" w:ascii="Times New Roman" w:hAnsi="Times New Roman" w:eastAsia="仿宋_GB2312" w:cs="仿宋_GB2312"/>
          <w:b w:val="0"/>
          <w:bCs w:val="0"/>
          <w:sz w:val="30"/>
          <w:szCs w:val="30"/>
          <w:u w:val="none"/>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_Toc4782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rPr>
        <w:t>第2条 规划依据</w:t>
      </w:r>
      <w:r>
        <w:rPr>
          <w:rFonts w:hint="eastAsia" w:ascii="Times New Roman" w:hAnsi="Times New Roman" w:eastAsia="仿宋_GB2312" w:cs="仿宋_GB2312"/>
          <w:b w:val="0"/>
          <w:bCs w:val="0"/>
          <w:sz w:val="30"/>
          <w:szCs w:val="30"/>
          <w:u w:val="none"/>
        </w:rPr>
        <w:tab/>
      </w:r>
      <w:r>
        <w:rPr>
          <w:rFonts w:hint="eastAsia" w:ascii="Times New Roman" w:hAnsi="Times New Roman" w:eastAsia="仿宋_GB2312" w:cs="仿宋_GB2312"/>
          <w:b w:val="0"/>
          <w:bCs w:val="0"/>
          <w:sz w:val="30"/>
          <w:szCs w:val="30"/>
          <w:u w:val="none"/>
        </w:rPr>
        <w:fldChar w:fldCharType="begin"/>
      </w:r>
      <w:r>
        <w:rPr>
          <w:rFonts w:hint="eastAsia" w:ascii="Times New Roman" w:hAnsi="Times New Roman" w:eastAsia="仿宋_GB2312" w:cs="仿宋_GB2312"/>
          <w:b w:val="0"/>
          <w:bCs w:val="0"/>
          <w:sz w:val="30"/>
          <w:szCs w:val="30"/>
          <w:u w:val="none"/>
        </w:rPr>
        <w:instrText xml:space="preserve"> PAGEREF _Toc4782 \h </w:instrText>
      </w:r>
      <w:r>
        <w:rPr>
          <w:rFonts w:hint="eastAsia" w:ascii="Times New Roman" w:hAnsi="Times New Roman" w:eastAsia="仿宋_GB2312" w:cs="仿宋_GB2312"/>
          <w:b w:val="0"/>
          <w:bCs w:val="0"/>
          <w:sz w:val="30"/>
          <w:szCs w:val="30"/>
          <w:u w:val="none"/>
        </w:rPr>
        <w:fldChar w:fldCharType="separate"/>
      </w:r>
      <w:r>
        <w:rPr>
          <w:rFonts w:hint="eastAsia" w:ascii="Times New Roman" w:hAnsi="Times New Roman" w:eastAsia="仿宋_GB2312" w:cs="仿宋_GB2312"/>
          <w:b w:val="0"/>
          <w:bCs w:val="0"/>
          <w:sz w:val="30"/>
          <w:szCs w:val="30"/>
          <w:u w:val="none"/>
        </w:rPr>
        <w:t>2</w:t>
      </w:r>
      <w:r>
        <w:rPr>
          <w:rFonts w:hint="eastAsia" w:ascii="Times New Roman" w:hAnsi="Times New Roman" w:eastAsia="仿宋_GB2312" w:cs="仿宋_GB2312"/>
          <w:b w:val="0"/>
          <w:bCs w:val="0"/>
          <w:sz w:val="30"/>
          <w:szCs w:val="30"/>
          <w:u w:val="none"/>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_Toc15432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rPr>
        <w:t>第3条 指导思想</w:t>
      </w:r>
      <w:r>
        <w:rPr>
          <w:rFonts w:hint="eastAsia" w:ascii="Times New Roman" w:hAnsi="Times New Roman" w:eastAsia="仿宋_GB2312" w:cs="仿宋_GB2312"/>
          <w:b w:val="0"/>
          <w:bCs w:val="0"/>
          <w:sz w:val="30"/>
          <w:szCs w:val="30"/>
          <w:u w:val="none"/>
        </w:rPr>
        <w:tab/>
      </w:r>
      <w:r>
        <w:rPr>
          <w:rFonts w:hint="eastAsia" w:ascii="Times New Roman" w:hAnsi="Times New Roman" w:eastAsia="仿宋_GB2312" w:cs="仿宋_GB2312"/>
          <w:b w:val="0"/>
          <w:bCs w:val="0"/>
          <w:sz w:val="30"/>
          <w:szCs w:val="30"/>
          <w:u w:val="none"/>
        </w:rPr>
        <w:fldChar w:fldCharType="begin"/>
      </w:r>
      <w:r>
        <w:rPr>
          <w:rFonts w:hint="eastAsia" w:ascii="Times New Roman" w:hAnsi="Times New Roman" w:eastAsia="仿宋_GB2312" w:cs="仿宋_GB2312"/>
          <w:b w:val="0"/>
          <w:bCs w:val="0"/>
          <w:sz w:val="30"/>
          <w:szCs w:val="30"/>
          <w:u w:val="none"/>
        </w:rPr>
        <w:instrText xml:space="preserve"> PAGEREF _Toc15432 \h </w:instrText>
      </w:r>
      <w:r>
        <w:rPr>
          <w:rFonts w:hint="eastAsia" w:ascii="Times New Roman" w:hAnsi="Times New Roman" w:eastAsia="仿宋_GB2312" w:cs="仿宋_GB2312"/>
          <w:b w:val="0"/>
          <w:bCs w:val="0"/>
          <w:sz w:val="30"/>
          <w:szCs w:val="30"/>
          <w:u w:val="none"/>
        </w:rPr>
        <w:fldChar w:fldCharType="separate"/>
      </w:r>
      <w:r>
        <w:rPr>
          <w:rFonts w:hint="eastAsia" w:ascii="Times New Roman" w:hAnsi="Times New Roman" w:eastAsia="仿宋_GB2312" w:cs="仿宋_GB2312"/>
          <w:b w:val="0"/>
          <w:bCs w:val="0"/>
          <w:sz w:val="30"/>
          <w:szCs w:val="30"/>
          <w:u w:val="none"/>
        </w:rPr>
        <w:t>3</w:t>
      </w:r>
      <w:r>
        <w:rPr>
          <w:rFonts w:hint="eastAsia" w:ascii="Times New Roman" w:hAnsi="Times New Roman" w:eastAsia="仿宋_GB2312" w:cs="仿宋_GB2312"/>
          <w:b w:val="0"/>
          <w:bCs w:val="0"/>
          <w:sz w:val="30"/>
          <w:szCs w:val="30"/>
          <w:u w:val="none"/>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_Toc11715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rPr>
        <w:t>第4条 规划原则</w:t>
      </w:r>
      <w:r>
        <w:rPr>
          <w:rFonts w:hint="eastAsia" w:ascii="Times New Roman" w:hAnsi="Times New Roman" w:eastAsia="仿宋_GB2312" w:cs="仿宋_GB2312"/>
          <w:b w:val="0"/>
          <w:bCs w:val="0"/>
          <w:sz w:val="30"/>
          <w:szCs w:val="30"/>
          <w:u w:val="none"/>
        </w:rPr>
        <w:tab/>
      </w:r>
      <w:r>
        <w:rPr>
          <w:rFonts w:hint="eastAsia" w:ascii="Times New Roman" w:hAnsi="Times New Roman" w:eastAsia="仿宋_GB2312" w:cs="仿宋_GB2312"/>
          <w:b w:val="0"/>
          <w:bCs w:val="0"/>
          <w:sz w:val="30"/>
          <w:szCs w:val="30"/>
          <w:u w:val="none"/>
        </w:rPr>
        <w:fldChar w:fldCharType="begin"/>
      </w:r>
      <w:r>
        <w:rPr>
          <w:rFonts w:hint="eastAsia" w:ascii="Times New Roman" w:hAnsi="Times New Roman" w:eastAsia="仿宋_GB2312" w:cs="仿宋_GB2312"/>
          <w:b w:val="0"/>
          <w:bCs w:val="0"/>
          <w:sz w:val="30"/>
          <w:szCs w:val="30"/>
          <w:u w:val="none"/>
        </w:rPr>
        <w:instrText xml:space="preserve"> PAGEREF _Toc11715 \h </w:instrText>
      </w:r>
      <w:r>
        <w:rPr>
          <w:rFonts w:hint="eastAsia" w:ascii="Times New Roman" w:hAnsi="Times New Roman" w:eastAsia="仿宋_GB2312" w:cs="仿宋_GB2312"/>
          <w:b w:val="0"/>
          <w:bCs w:val="0"/>
          <w:sz w:val="30"/>
          <w:szCs w:val="30"/>
          <w:u w:val="none"/>
        </w:rPr>
        <w:fldChar w:fldCharType="separate"/>
      </w:r>
      <w:r>
        <w:rPr>
          <w:rFonts w:hint="eastAsia" w:ascii="Times New Roman" w:hAnsi="Times New Roman" w:eastAsia="仿宋_GB2312" w:cs="仿宋_GB2312"/>
          <w:b w:val="0"/>
          <w:bCs w:val="0"/>
          <w:sz w:val="30"/>
          <w:szCs w:val="30"/>
          <w:u w:val="none"/>
        </w:rPr>
        <w:t>4</w:t>
      </w:r>
      <w:r>
        <w:rPr>
          <w:rFonts w:hint="eastAsia" w:ascii="Times New Roman" w:hAnsi="Times New Roman" w:eastAsia="仿宋_GB2312" w:cs="仿宋_GB2312"/>
          <w:b w:val="0"/>
          <w:bCs w:val="0"/>
          <w:sz w:val="30"/>
          <w:szCs w:val="30"/>
          <w:u w:val="none"/>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_Toc13927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rPr>
        <w:t>第5条 规划期限</w:t>
      </w:r>
      <w:r>
        <w:rPr>
          <w:rFonts w:hint="eastAsia" w:ascii="Times New Roman" w:hAnsi="Times New Roman" w:eastAsia="仿宋_GB2312" w:cs="仿宋_GB2312"/>
          <w:b w:val="0"/>
          <w:bCs w:val="0"/>
          <w:sz w:val="30"/>
          <w:szCs w:val="30"/>
          <w:u w:val="none"/>
        </w:rPr>
        <w:tab/>
      </w:r>
      <w:r>
        <w:rPr>
          <w:rFonts w:hint="eastAsia" w:ascii="Times New Roman" w:hAnsi="Times New Roman" w:eastAsia="仿宋_GB2312" w:cs="仿宋_GB2312"/>
          <w:b w:val="0"/>
          <w:bCs w:val="0"/>
          <w:sz w:val="30"/>
          <w:szCs w:val="30"/>
          <w:u w:val="none"/>
        </w:rPr>
        <w:fldChar w:fldCharType="begin"/>
      </w:r>
      <w:r>
        <w:rPr>
          <w:rFonts w:hint="eastAsia" w:ascii="Times New Roman" w:hAnsi="Times New Roman" w:eastAsia="仿宋_GB2312" w:cs="仿宋_GB2312"/>
          <w:b w:val="0"/>
          <w:bCs w:val="0"/>
          <w:sz w:val="30"/>
          <w:szCs w:val="30"/>
          <w:u w:val="none"/>
        </w:rPr>
        <w:instrText xml:space="preserve"> PAGEREF _Toc13927 \h </w:instrText>
      </w:r>
      <w:r>
        <w:rPr>
          <w:rFonts w:hint="eastAsia" w:ascii="Times New Roman" w:hAnsi="Times New Roman" w:eastAsia="仿宋_GB2312" w:cs="仿宋_GB2312"/>
          <w:b w:val="0"/>
          <w:bCs w:val="0"/>
          <w:sz w:val="30"/>
          <w:szCs w:val="30"/>
          <w:u w:val="none"/>
        </w:rPr>
        <w:fldChar w:fldCharType="separate"/>
      </w:r>
      <w:r>
        <w:rPr>
          <w:rFonts w:hint="eastAsia" w:ascii="Times New Roman" w:hAnsi="Times New Roman" w:eastAsia="仿宋_GB2312" w:cs="仿宋_GB2312"/>
          <w:b w:val="0"/>
          <w:bCs w:val="0"/>
          <w:sz w:val="30"/>
          <w:szCs w:val="30"/>
          <w:u w:val="none"/>
        </w:rPr>
        <w:t>5</w:t>
      </w:r>
      <w:r>
        <w:rPr>
          <w:rFonts w:hint="eastAsia" w:ascii="Times New Roman" w:hAnsi="Times New Roman" w:eastAsia="仿宋_GB2312" w:cs="仿宋_GB2312"/>
          <w:b w:val="0"/>
          <w:bCs w:val="0"/>
          <w:sz w:val="30"/>
          <w:szCs w:val="30"/>
          <w:u w:val="none"/>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_Toc19822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rPr>
        <w:t>第6条 规划范围</w:t>
      </w:r>
      <w:r>
        <w:rPr>
          <w:rFonts w:hint="eastAsia" w:ascii="Times New Roman" w:hAnsi="Times New Roman" w:eastAsia="仿宋_GB2312" w:cs="仿宋_GB2312"/>
          <w:b w:val="0"/>
          <w:bCs w:val="0"/>
          <w:sz w:val="30"/>
          <w:szCs w:val="30"/>
          <w:u w:val="none"/>
        </w:rPr>
        <w:tab/>
      </w:r>
      <w:r>
        <w:rPr>
          <w:rFonts w:hint="eastAsia" w:ascii="Times New Roman" w:hAnsi="Times New Roman" w:eastAsia="仿宋_GB2312" w:cs="仿宋_GB2312"/>
          <w:b w:val="0"/>
          <w:bCs w:val="0"/>
          <w:sz w:val="30"/>
          <w:szCs w:val="30"/>
          <w:u w:val="none"/>
        </w:rPr>
        <w:fldChar w:fldCharType="begin"/>
      </w:r>
      <w:r>
        <w:rPr>
          <w:rFonts w:hint="eastAsia" w:ascii="Times New Roman" w:hAnsi="Times New Roman" w:eastAsia="仿宋_GB2312" w:cs="仿宋_GB2312"/>
          <w:b w:val="0"/>
          <w:bCs w:val="0"/>
          <w:sz w:val="30"/>
          <w:szCs w:val="30"/>
          <w:u w:val="none"/>
        </w:rPr>
        <w:instrText xml:space="preserve"> PAGEREF _Toc19822 \h </w:instrText>
      </w:r>
      <w:r>
        <w:rPr>
          <w:rFonts w:hint="eastAsia" w:ascii="Times New Roman" w:hAnsi="Times New Roman" w:eastAsia="仿宋_GB2312" w:cs="仿宋_GB2312"/>
          <w:b w:val="0"/>
          <w:bCs w:val="0"/>
          <w:sz w:val="30"/>
          <w:szCs w:val="30"/>
          <w:u w:val="none"/>
        </w:rPr>
        <w:fldChar w:fldCharType="separate"/>
      </w:r>
      <w:r>
        <w:rPr>
          <w:rFonts w:hint="eastAsia" w:ascii="Times New Roman" w:hAnsi="Times New Roman" w:eastAsia="仿宋_GB2312" w:cs="仿宋_GB2312"/>
          <w:b w:val="0"/>
          <w:bCs w:val="0"/>
          <w:sz w:val="30"/>
          <w:szCs w:val="30"/>
          <w:u w:val="none"/>
        </w:rPr>
        <w:t>5</w:t>
      </w:r>
      <w:r>
        <w:rPr>
          <w:rFonts w:hint="eastAsia" w:ascii="Times New Roman" w:hAnsi="Times New Roman" w:eastAsia="仿宋_GB2312" w:cs="仿宋_GB2312"/>
          <w:b w:val="0"/>
          <w:bCs w:val="0"/>
          <w:sz w:val="30"/>
          <w:szCs w:val="30"/>
          <w:u w:val="none"/>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_Toc23792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rPr>
        <w:t>第7条 规划解释</w:t>
      </w:r>
      <w:r>
        <w:rPr>
          <w:rFonts w:hint="eastAsia" w:ascii="Times New Roman" w:hAnsi="Times New Roman" w:eastAsia="仿宋_GB2312" w:cs="仿宋_GB2312"/>
          <w:b w:val="0"/>
          <w:bCs w:val="0"/>
          <w:sz w:val="30"/>
          <w:szCs w:val="30"/>
          <w:u w:val="none"/>
        </w:rPr>
        <w:tab/>
      </w:r>
      <w:r>
        <w:rPr>
          <w:rFonts w:hint="eastAsia" w:ascii="Times New Roman" w:hAnsi="Times New Roman" w:eastAsia="仿宋_GB2312" w:cs="仿宋_GB2312"/>
          <w:b w:val="0"/>
          <w:bCs w:val="0"/>
          <w:sz w:val="30"/>
          <w:szCs w:val="30"/>
          <w:u w:val="none"/>
        </w:rPr>
        <w:fldChar w:fldCharType="begin"/>
      </w:r>
      <w:r>
        <w:rPr>
          <w:rFonts w:hint="eastAsia" w:ascii="Times New Roman" w:hAnsi="Times New Roman" w:eastAsia="仿宋_GB2312" w:cs="仿宋_GB2312"/>
          <w:b w:val="0"/>
          <w:bCs w:val="0"/>
          <w:sz w:val="30"/>
          <w:szCs w:val="30"/>
          <w:u w:val="none"/>
        </w:rPr>
        <w:instrText xml:space="preserve"> PAGEREF _Toc23792 \h </w:instrText>
      </w:r>
      <w:r>
        <w:rPr>
          <w:rFonts w:hint="eastAsia" w:ascii="Times New Roman" w:hAnsi="Times New Roman" w:eastAsia="仿宋_GB2312" w:cs="仿宋_GB2312"/>
          <w:b w:val="0"/>
          <w:bCs w:val="0"/>
          <w:sz w:val="30"/>
          <w:szCs w:val="30"/>
          <w:u w:val="none"/>
        </w:rPr>
        <w:fldChar w:fldCharType="separate"/>
      </w:r>
      <w:r>
        <w:rPr>
          <w:rFonts w:hint="eastAsia" w:ascii="Times New Roman" w:hAnsi="Times New Roman" w:eastAsia="仿宋_GB2312" w:cs="仿宋_GB2312"/>
          <w:b w:val="0"/>
          <w:bCs w:val="0"/>
          <w:sz w:val="30"/>
          <w:szCs w:val="30"/>
          <w:u w:val="none"/>
        </w:rPr>
        <w:t>5</w:t>
      </w:r>
      <w:r>
        <w:rPr>
          <w:rFonts w:hint="eastAsia" w:ascii="Times New Roman" w:hAnsi="Times New Roman" w:eastAsia="仿宋_GB2312" w:cs="仿宋_GB2312"/>
          <w:b w:val="0"/>
          <w:bCs w:val="0"/>
          <w:sz w:val="30"/>
          <w:szCs w:val="30"/>
          <w:u w:val="none"/>
        </w:rPr>
        <w:fldChar w:fldCharType="end"/>
      </w:r>
      <w:r>
        <w:rPr>
          <w:rFonts w:hint="eastAsia" w:ascii="Times New Roman" w:hAnsi="Times New Roman" w:eastAsia="仿宋_GB2312" w:cs="仿宋_GB2312"/>
          <w:b w:val="0"/>
          <w:bCs w:val="0"/>
          <w:sz w:val="30"/>
          <w:szCs w:val="30"/>
          <w:u w:val="none"/>
          <w:lang w:val="zh-CN"/>
        </w:rPr>
        <w:fldChar w:fldCharType="end"/>
      </w:r>
    </w:p>
    <w:p>
      <w:pPr>
        <w:pStyle w:val="24"/>
        <w:tabs>
          <w:tab w:val="right" w:leader="dot" w:pos="9072"/>
          <w:tab w:val="clear" w:pos="8296"/>
        </w:tabs>
        <w:rPr>
          <w:b w:val="0"/>
          <w:bCs w:val="0"/>
          <w:sz w:val="30"/>
          <w:szCs w:val="30"/>
          <w:u w:val="none"/>
        </w:rPr>
      </w:pPr>
      <w:r>
        <w:rPr>
          <w:b w:val="0"/>
          <w:bCs w:val="0"/>
          <w:sz w:val="30"/>
          <w:szCs w:val="30"/>
          <w:u w:val="none"/>
          <w:lang w:val="zh-CN"/>
        </w:rPr>
        <w:fldChar w:fldCharType="begin"/>
      </w:r>
      <w:r>
        <w:rPr>
          <w:b w:val="0"/>
          <w:bCs w:val="0"/>
          <w:sz w:val="30"/>
          <w:szCs w:val="30"/>
          <w:u w:val="none"/>
          <w:lang w:val="zh-CN"/>
        </w:rPr>
        <w:instrText xml:space="preserve"> HYPERLINK \l _Toc14935 </w:instrText>
      </w:r>
      <w:r>
        <w:rPr>
          <w:b w:val="0"/>
          <w:bCs w:val="0"/>
          <w:sz w:val="30"/>
          <w:szCs w:val="30"/>
          <w:u w:val="none"/>
          <w:lang w:val="zh-CN"/>
        </w:rPr>
        <w:fldChar w:fldCharType="separate"/>
      </w:r>
      <w:r>
        <w:rPr>
          <w:rFonts w:hint="eastAsia" w:ascii="Times New Roman" w:hAnsi="Times New Roman" w:eastAsia="黑体" w:cs="黑体"/>
          <w:b w:val="0"/>
          <w:bCs w:val="0"/>
          <w:sz w:val="30"/>
          <w:szCs w:val="30"/>
          <w:u w:val="none"/>
        </w:rPr>
        <w:t xml:space="preserve">第二章 </w:t>
      </w:r>
      <w:r>
        <w:rPr>
          <w:b w:val="0"/>
          <w:bCs w:val="0"/>
          <w:sz w:val="30"/>
          <w:szCs w:val="30"/>
          <w:u w:val="none"/>
        </w:rPr>
        <w:t>现状基础、存在问题和风险挑战</w:t>
      </w:r>
      <w:r>
        <w:rPr>
          <w:b w:val="0"/>
          <w:bCs w:val="0"/>
          <w:sz w:val="30"/>
          <w:szCs w:val="30"/>
          <w:u w:val="none"/>
        </w:rPr>
        <w:tab/>
      </w:r>
      <w:r>
        <w:rPr>
          <w:b w:val="0"/>
          <w:bCs w:val="0"/>
          <w:sz w:val="30"/>
          <w:szCs w:val="30"/>
          <w:u w:val="none"/>
        </w:rPr>
        <w:fldChar w:fldCharType="begin"/>
      </w:r>
      <w:r>
        <w:rPr>
          <w:b w:val="0"/>
          <w:bCs w:val="0"/>
          <w:sz w:val="30"/>
          <w:szCs w:val="30"/>
          <w:u w:val="none"/>
        </w:rPr>
        <w:instrText xml:space="preserve"> PAGEREF _Toc14935 \h </w:instrText>
      </w:r>
      <w:r>
        <w:rPr>
          <w:b w:val="0"/>
          <w:bCs w:val="0"/>
          <w:sz w:val="30"/>
          <w:szCs w:val="30"/>
          <w:u w:val="none"/>
        </w:rPr>
        <w:fldChar w:fldCharType="separate"/>
      </w:r>
      <w:r>
        <w:rPr>
          <w:b w:val="0"/>
          <w:bCs w:val="0"/>
          <w:sz w:val="30"/>
          <w:szCs w:val="30"/>
          <w:u w:val="none"/>
        </w:rPr>
        <w:t>6</w:t>
      </w:r>
      <w:r>
        <w:rPr>
          <w:b w:val="0"/>
          <w:bCs w:val="0"/>
          <w:sz w:val="30"/>
          <w:szCs w:val="30"/>
          <w:u w:val="none"/>
        </w:rPr>
        <w:fldChar w:fldCharType="end"/>
      </w:r>
      <w:r>
        <w:rPr>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_Toc8526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第8条 现状基数</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_Toc8526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_Toc17940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第9条 资源环境承载能力和国土空间开发适宜性评价</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_Toc17940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_Toc1327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第10条 国土空间开发保护现状评估</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_Toc1327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7</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_Toc20552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第11条 国土空间开发保护风险评估</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_Toc20552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9</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4"/>
        <w:tabs>
          <w:tab w:val="right" w:leader="dot" w:pos="9072"/>
          <w:tab w:val="clear" w:pos="8296"/>
        </w:tabs>
        <w:rPr>
          <w:b w:val="0"/>
          <w:bCs w:val="0"/>
          <w:sz w:val="30"/>
          <w:szCs w:val="30"/>
          <w:u w:val="none"/>
        </w:rPr>
      </w:pPr>
      <w:r>
        <w:rPr>
          <w:b w:val="0"/>
          <w:bCs w:val="0"/>
          <w:sz w:val="30"/>
          <w:szCs w:val="30"/>
          <w:u w:val="none"/>
          <w:lang w:val="zh-CN"/>
        </w:rPr>
        <w:fldChar w:fldCharType="begin"/>
      </w:r>
      <w:r>
        <w:rPr>
          <w:b w:val="0"/>
          <w:bCs w:val="0"/>
          <w:sz w:val="30"/>
          <w:szCs w:val="30"/>
          <w:u w:val="none"/>
          <w:lang w:val="zh-CN"/>
        </w:rPr>
        <w:instrText xml:space="preserve"> HYPERLINK \l _Toc25517 </w:instrText>
      </w:r>
      <w:r>
        <w:rPr>
          <w:b w:val="0"/>
          <w:bCs w:val="0"/>
          <w:sz w:val="30"/>
          <w:szCs w:val="30"/>
          <w:u w:val="none"/>
          <w:lang w:val="zh-CN"/>
        </w:rPr>
        <w:fldChar w:fldCharType="separate"/>
      </w:r>
      <w:r>
        <w:rPr>
          <w:rFonts w:hint="eastAsia" w:ascii="Times New Roman" w:hAnsi="Times New Roman" w:eastAsia="黑体" w:cs="黑体"/>
          <w:b w:val="0"/>
          <w:bCs w:val="0"/>
          <w:sz w:val="30"/>
          <w:szCs w:val="30"/>
          <w:u w:val="none"/>
        </w:rPr>
        <w:t xml:space="preserve">第三章 </w:t>
      </w:r>
      <w:r>
        <w:rPr>
          <w:b w:val="0"/>
          <w:bCs w:val="0"/>
          <w:sz w:val="30"/>
          <w:szCs w:val="30"/>
          <w:u w:val="none"/>
        </w:rPr>
        <w:t>城市性质和目标战略</w:t>
      </w:r>
      <w:r>
        <w:rPr>
          <w:b w:val="0"/>
          <w:bCs w:val="0"/>
          <w:sz w:val="30"/>
          <w:szCs w:val="30"/>
          <w:u w:val="none"/>
        </w:rPr>
        <w:tab/>
      </w:r>
      <w:r>
        <w:rPr>
          <w:b w:val="0"/>
          <w:bCs w:val="0"/>
          <w:sz w:val="30"/>
          <w:szCs w:val="30"/>
          <w:u w:val="none"/>
        </w:rPr>
        <w:fldChar w:fldCharType="begin"/>
      </w:r>
      <w:r>
        <w:rPr>
          <w:b w:val="0"/>
          <w:bCs w:val="0"/>
          <w:sz w:val="30"/>
          <w:szCs w:val="30"/>
          <w:u w:val="none"/>
        </w:rPr>
        <w:instrText xml:space="preserve"> PAGEREF _Toc25517 \h </w:instrText>
      </w:r>
      <w:r>
        <w:rPr>
          <w:b w:val="0"/>
          <w:bCs w:val="0"/>
          <w:sz w:val="30"/>
          <w:szCs w:val="30"/>
          <w:u w:val="none"/>
        </w:rPr>
        <w:fldChar w:fldCharType="separate"/>
      </w:r>
      <w:r>
        <w:rPr>
          <w:b w:val="0"/>
          <w:bCs w:val="0"/>
          <w:sz w:val="30"/>
          <w:szCs w:val="30"/>
          <w:u w:val="none"/>
        </w:rPr>
        <w:t>10</w:t>
      </w:r>
      <w:r>
        <w:rPr>
          <w:b w:val="0"/>
          <w:bCs w:val="0"/>
          <w:sz w:val="30"/>
          <w:szCs w:val="30"/>
          <w:u w:val="none"/>
        </w:rPr>
        <w:fldChar w:fldCharType="end"/>
      </w:r>
      <w:r>
        <w:rPr>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_Toc24991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第12条 目标愿景</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_Toc24991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10</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_Toc15576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第13条 城市性质</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_Toc15576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10</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_Toc29618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第14条 城市规模</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_Toc29618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12</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_Toc24195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第15条 国土空间开发保护策略</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_Toc24195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12</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_Toc29987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第16条 规划指标管控</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_Toc29987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16</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4"/>
        <w:tabs>
          <w:tab w:val="right" w:leader="dot" w:pos="9072"/>
          <w:tab w:val="clear" w:pos="8296"/>
        </w:tabs>
        <w:rPr>
          <w:b w:val="0"/>
          <w:bCs w:val="0"/>
          <w:sz w:val="30"/>
          <w:szCs w:val="30"/>
          <w:u w:val="none"/>
        </w:rPr>
      </w:pPr>
      <w:r>
        <w:rPr>
          <w:b w:val="0"/>
          <w:bCs w:val="0"/>
          <w:sz w:val="30"/>
          <w:szCs w:val="30"/>
          <w:u w:val="none"/>
          <w:lang w:val="zh-CN"/>
        </w:rPr>
        <w:fldChar w:fldCharType="begin"/>
      </w:r>
      <w:r>
        <w:rPr>
          <w:b w:val="0"/>
          <w:bCs w:val="0"/>
          <w:sz w:val="30"/>
          <w:szCs w:val="30"/>
          <w:u w:val="none"/>
          <w:lang w:val="zh-CN"/>
        </w:rPr>
        <w:instrText xml:space="preserve"> HYPERLINK \l _Toc23679 </w:instrText>
      </w:r>
      <w:r>
        <w:rPr>
          <w:b w:val="0"/>
          <w:bCs w:val="0"/>
          <w:sz w:val="30"/>
          <w:szCs w:val="30"/>
          <w:u w:val="none"/>
          <w:lang w:val="zh-CN"/>
        </w:rPr>
        <w:fldChar w:fldCharType="separate"/>
      </w:r>
      <w:r>
        <w:rPr>
          <w:rFonts w:hint="eastAsia" w:ascii="Times New Roman" w:hAnsi="Times New Roman" w:eastAsia="黑体" w:cs="黑体"/>
          <w:b w:val="0"/>
          <w:bCs w:val="0"/>
          <w:sz w:val="30"/>
          <w:szCs w:val="30"/>
          <w:u w:val="none"/>
        </w:rPr>
        <w:t xml:space="preserve">第四章 </w:t>
      </w:r>
      <w:r>
        <w:rPr>
          <w:b w:val="0"/>
          <w:bCs w:val="0"/>
          <w:sz w:val="30"/>
          <w:szCs w:val="30"/>
          <w:u w:val="none"/>
        </w:rPr>
        <w:t>国土空间总体格局</w:t>
      </w:r>
      <w:r>
        <w:rPr>
          <w:b w:val="0"/>
          <w:bCs w:val="0"/>
          <w:sz w:val="30"/>
          <w:szCs w:val="30"/>
          <w:u w:val="none"/>
        </w:rPr>
        <w:tab/>
      </w:r>
      <w:r>
        <w:rPr>
          <w:b w:val="0"/>
          <w:bCs w:val="0"/>
          <w:sz w:val="30"/>
          <w:szCs w:val="30"/>
          <w:u w:val="none"/>
        </w:rPr>
        <w:fldChar w:fldCharType="begin"/>
      </w:r>
      <w:r>
        <w:rPr>
          <w:b w:val="0"/>
          <w:bCs w:val="0"/>
          <w:sz w:val="30"/>
          <w:szCs w:val="30"/>
          <w:u w:val="none"/>
        </w:rPr>
        <w:instrText xml:space="preserve"> PAGEREF _Toc23679 \h </w:instrText>
      </w:r>
      <w:r>
        <w:rPr>
          <w:b w:val="0"/>
          <w:bCs w:val="0"/>
          <w:sz w:val="30"/>
          <w:szCs w:val="30"/>
          <w:u w:val="none"/>
        </w:rPr>
        <w:fldChar w:fldCharType="separate"/>
      </w:r>
      <w:r>
        <w:rPr>
          <w:b w:val="0"/>
          <w:bCs w:val="0"/>
          <w:sz w:val="30"/>
          <w:szCs w:val="30"/>
          <w:u w:val="none"/>
        </w:rPr>
        <w:t>17</w:t>
      </w:r>
      <w:r>
        <w:rPr>
          <w:b w:val="0"/>
          <w:bCs w:val="0"/>
          <w:sz w:val="30"/>
          <w:szCs w:val="30"/>
          <w:u w:val="none"/>
        </w:rPr>
        <w:fldChar w:fldCharType="end"/>
      </w:r>
      <w:r>
        <w:rPr>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_Toc21350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rPr>
        <w:t>第一节 重要控制线划定</w:t>
      </w:r>
      <w:r>
        <w:rPr>
          <w:rFonts w:hint="eastAsia" w:ascii="Times New Roman" w:hAnsi="Times New Roman" w:eastAsia="楷体_GB2312" w:cs="楷体_GB2312"/>
          <w:b w:val="0"/>
          <w:bCs w:val="0"/>
          <w:sz w:val="30"/>
          <w:szCs w:val="30"/>
          <w:u w:val="none"/>
        </w:rPr>
        <w:tab/>
      </w:r>
      <w:r>
        <w:rPr>
          <w:rFonts w:hint="eastAsia" w:ascii="Times New Roman" w:hAnsi="Times New Roman" w:eastAsia="楷体_GB2312" w:cs="楷体_GB2312"/>
          <w:b w:val="0"/>
          <w:bCs w:val="0"/>
          <w:sz w:val="30"/>
          <w:szCs w:val="30"/>
          <w:u w:val="none"/>
        </w:rPr>
        <w:fldChar w:fldCharType="begin"/>
      </w:r>
      <w:r>
        <w:rPr>
          <w:rFonts w:hint="eastAsia" w:ascii="Times New Roman" w:hAnsi="Times New Roman" w:eastAsia="楷体_GB2312" w:cs="楷体_GB2312"/>
          <w:b w:val="0"/>
          <w:bCs w:val="0"/>
          <w:sz w:val="30"/>
          <w:szCs w:val="30"/>
          <w:u w:val="none"/>
        </w:rPr>
        <w:instrText xml:space="preserve"> PAGEREF _Toc21350 \h </w:instrText>
      </w:r>
      <w:r>
        <w:rPr>
          <w:rFonts w:hint="eastAsia" w:ascii="Times New Roman" w:hAnsi="Times New Roman" w:eastAsia="楷体_GB2312" w:cs="楷体_GB2312"/>
          <w:b w:val="0"/>
          <w:bCs w:val="0"/>
          <w:sz w:val="30"/>
          <w:szCs w:val="30"/>
          <w:u w:val="none"/>
        </w:rPr>
        <w:fldChar w:fldCharType="separate"/>
      </w:r>
      <w:r>
        <w:rPr>
          <w:rFonts w:hint="eastAsia" w:ascii="Times New Roman" w:hAnsi="Times New Roman" w:eastAsia="楷体_GB2312" w:cs="楷体_GB2312"/>
          <w:b w:val="0"/>
          <w:bCs w:val="0"/>
          <w:sz w:val="30"/>
          <w:szCs w:val="30"/>
          <w:u w:val="none"/>
        </w:rPr>
        <w:t>17</w:t>
      </w:r>
      <w:r>
        <w:rPr>
          <w:rFonts w:hint="eastAsia" w:ascii="Times New Roman" w:hAnsi="Times New Roman" w:eastAsia="楷体_GB2312" w:cs="楷体_GB2312"/>
          <w:b w:val="0"/>
          <w:bCs w:val="0"/>
          <w:sz w:val="30"/>
          <w:szCs w:val="30"/>
          <w:u w:val="none"/>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_Toc7083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第17条 优先划定耕地和永久基本农田</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_Toc7083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17</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_Toc24603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第18条 科学划定生态保护红线</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_Toc24603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17</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_Toc3712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第19条 合理划定城镇开发边界</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_Toc3712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18</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_Toc21984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第二节 开发保护总体格局</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_Toc21984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19</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_Toc30467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第20条 落实主体功能区格局</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_Toc30467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20</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_Toc8449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第21条 构建“两心两轴六片”的国土空间开发利用格局</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_Toc8449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20</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_Toc24900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第22条 构建“一链三核全网”的国土空间保护格局</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_Toc24900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21</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_Toc29306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第三节 国土空间规划分区</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_Toc29306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22</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_Toc25294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第23条 划定市域规划分区</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_Toc25294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22</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_Toc6172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第24条 实施国土空间战略留白</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_Toc6172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24</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4"/>
        <w:tabs>
          <w:tab w:val="right" w:leader="dot" w:pos="9072"/>
          <w:tab w:val="clear" w:pos="8296"/>
        </w:tabs>
        <w:rPr>
          <w:b w:val="0"/>
          <w:bCs w:val="0"/>
          <w:sz w:val="30"/>
          <w:szCs w:val="30"/>
          <w:u w:val="none"/>
        </w:rPr>
      </w:pPr>
      <w:r>
        <w:rPr>
          <w:b w:val="0"/>
          <w:bCs w:val="0"/>
          <w:sz w:val="30"/>
          <w:szCs w:val="30"/>
          <w:u w:val="none"/>
          <w:lang w:val="zh-CN"/>
        </w:rPr>
        <w:fldChar w:fldCharType="begin"/>
      </w:r>
      <w:r>
        <w:rPr>
          <w:b w:val="0"/>
          <w:bCs w:val="0"/>
          <w:sz w:val="30"/>
          <w:szCs w:val="30"/>
          <w:u w:val="none"/>
          <w:lang w:val="zh-CN"/>
        </w:rPr>
        <w:instrText xml:space="preserve"> HYPERLINK \l _Toc20159 </w:instrText>
      </w:r>
      <w:r>
        <w:rPr>
          <w:b w:val="0"/>
          <w:bCs w:val="0"/>
          <w:sz w:val="30"/>
          <w:szCs w:val="30"/>
          <w:u w:val="none"/>
          <w:lang w:val="zh-CN"/>
        </w:rPr>
        <w:fldChar w:fldCharType="separate"/>
      </w:r>
      <w:r>
        <w:rPr>
          <w:rFonts w:hint="eastAsia" w:ascii="Times New Roman" w:hAnsi="Times New Roman" w:eastAsia="黑体" w:cs="黑体"/>
          <w:b w:val="0"/>
          <w:bCs w:val="0"/>
          <w:sz w:val="30"/>
          <w:szCs w:val="30"/>
          <w:u w:val="none"/>
        </w:rPr>
        <w:t xml:space="preserve">第五章 </w:t>
      </w:r>
      <w:r>
        <w:rPr>
          <w:b w:val="0"/>
          <w:bCs w:val="0"/>
          <w:sz w:val="30"/>
          <w:szCs w:val="30"/>
          <w:u w:val="none"/>
        </w:rPr>
        <w:t>农业空间</w:t>
      </w:r>
      <w:r>
        <w:rPr>
          <w:b w:val="0"/>
          <w:bCs w:val="0"/>
          <w:sz w:val="30"/>
          <w:szCs w:val="30"/>
          <w:u w:val="none"/>
        </w:rPr>
        <w:tab/>
      </w:r>
      <w:r>
        <w:rPr>
          <w:b w:val="0"/>
          <w:bCs w:val="0"/>
          <w:sz w:val="30"/>
          <w:szCs w:val="30"/>
          <w:u w:val="none"/>
        </w:rPr>
        <w:fldChar w:fldCharType="begin"/>
      </w:r>
      <w:r>
        <w:rPr>
          <w:b w:val="0"/>
          <w:bCs w:val="0"/>
          <w:sz w:val="30"/>
          <w:szCs w:val="30"/>
          <w:u w:val="none"/>
        </w:rPr>
        <w:instrText xml:space="preserve"> PAGEREF _Toc20159 \h </w:instrText>
      </w:r>
      <w:r>
        <w:rPr>
          <w:b w:val="0"/>
          <w:bCs w:val="0"/>
          <w:sz w:val="30"/>
          <w:szCs w:val="30"/>
          <w:u w:val="none"/>
        </w:rPr>
        <w:fldChar w:fldCharType="separate"/>
      </w:r>
      <w:r>
        <w:rPr>
          <w:b w:val="0"/>
          <w:bCs w:val="0"/>
          <w:sz w:val="30"/>
          <w:szCs w:val="30"/>
          <w:u w:val="none"/>
        </w:rPr>
        <w:t>25</w:t>
      </w:r>
      <w:r>
        <w:rPr>
          <w:b w:val="0"/>
          <w:bCs w:val="0"/>
          <w:sz w:val="30"/>
          <w:szCs w:val="30"/>
          <w:u w:val="none"/>
        </w:rPr>
        <w:fldChar w:fldCharType="end"/>
      </w:r>
      <w:r>
        <w:rPr>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_Toc10975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第一节 优化农业空间格局</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_Toc10975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25</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_Toc19287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第25条 构建“三区一带、七园一渔港”农业空间格局</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_Toc19287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25</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_Toc27802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第26条 打造现代化农渔业集聚平台</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_Toc27802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25</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_Toc23869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第27条 发展现代都市型农业</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_Toc23869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26</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_Toc14529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第二节 建设宜居宜业和美乡村</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_Toc14529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27</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_Toc24024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第28条 分类引导乡村有序发展</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_Toc24024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27</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_Toc18398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第29条 支持全面推进乡村振兴</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_Toc18398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28</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_Toc15711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第三节 促进城乡空间高质量融合发展</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_Toc15711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29</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_Toc17359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第30条 统筹城乡公共服务和基础设施建设</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_Toc17359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29</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_Toc13977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第31条 创新土地政策促进城乡融合发展</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_Toc13977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30</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4"/>
        <w:tabs>
          <w:tab w:val="right" w:leader="dot" w:pos="9072"/>
          <w:tab w:val="clear" w:pos="8296"/>
        </w:tabs>
        <w:rPr>
          <w:b w:val="0"/>
          <w:bCs w:val="0"/>
          <w:sz w:val="30"/>
          <w:szCs w:val="30"/>
          <w:u w:val="none"/>
        </w:rPr>
      </w:pPr>
      <w:r>
        <w:rPr>
          <w:b w:val="0"/>
          <w:bCs w:val="0"/>
          <w:sz w:val="30"/>
          <w:szCs w:val="30"/>
          <w:u w:val="none"/>
          <w:lang w:val="zh-CN"/>
        </w:rPr>
        <w:fldChar w:fldCharType="begin"/>
      </w:r>
      <w:r>
        <w:rPr>
          <w:b w:val="0"/>
          <w:bCs w:val="0"/>
          <w:sz w:val="30"/>
          <w:szCs w:val="30"/>
          <w:u w:val="none"/>
          <w:lang w:val="zh-CN"/>
        </w:rPr>
        <w:instrText xml:space="preserve"> HYPERLINK \l _Toc23323 </w:instrText>
      </w:r>
      <w:r>
        <w:rPr>
          <w:b w:val="0"/>
          <w:bCs w:val="0"/>
          <w:sz w:val="30"/>
          <w:szCs w:val="30"/>
          <w:u w:val="none"/>
          <w:lang w:val="zh-CN"/>
        </w:rPr>
        <w:fldChar w:fldCharType="separate"/>
      </w:r>
      <w:r>
        <w:rPr>
          <w:rFonts w:hint="eastAsia" w:ascii="Times New Roman" w:hAnsi="Times New Roman" w:eastAsia="黑体" w:cs="黑体"/>
          <w:b w:val="0"/>
          <w:bCs w:val="0"/>
          <w:sz w:val="30"/>
          <w:szCs w:val="30"/>
          <w:u w:val="none"/>
        </w:rPr>
        <w:t xml:space="preserve">第六章 </w:t>
      </w:r>
      <w:r>
        <w:rPr>
          <w:b w:val="0"/>
          <w:bCs w:val="0"/>
          <w:sz w:val="30"/>
          <w:szCs w:val="30"/>
          <w:u w:val="none"/>
        </w:rPr>
        <w:t>生态空间</w:t>
      </w:r>
      <w:r>
        <w:rPr>
          <w:b w:val="0"/>
          <w:bCs w:val="0"/>
          <w:sz w:val="30"/>
          <w:szCs w:val="30"/>
          <w:u w:val="none"/>
        </w:rPr>
        <w:tab/>
      </w:r>
      <w:r>
        <w:rPr>
          <w:b w:val="0"/>
          <w:bCs w:val="0"/>
          <w:sz w:val="30"/>
          <w:szCs w:val="30"/>
          <w:u w:val="none"/>
        </w:rPr>
        <w:fldChar w:fldCharType="begin"/>
      </w:r>
      <w:r>
        <w:rPr>
          <w:b w:val="0"/>
          <w:bCs w:val="0"/>
          <w:sz w:val="30"/>
          <w:szCs w:val="30"/>
          <w:u w:val="none"/>
        </w:rPr>
        <w:instrText xml:space="preserve"> PAGEREF _Toc23323 \h </w:instrText>
      </w:r>
      <w:r>
        <w:rPr>
          <w:b w:val="0"/>
          <w:bCs w:val="0"/>
          <w:sz w:val="30"/>
          <w:szCs w:val="30"/>
          <w:u w:val="none"/>
        </w:rPr>
        <w:fldChar w:fldCharType="separate"/>
      </w:r>
      <w:r>
        <w:rPr>
          <w:b w:val="0"/>
          <w:bCs w:val="0"/>
          <w:sz w:val="30"/>
          <w:szCs w:val="30"/>
          <w:u w:val="none"/>
        </w:rPr>
        <w:t>31</w:t>
      </w:r>
      <w:r>
        <w:rPr>
          <w:b w:val="0"/>
          <w:bCs w:val="0"/>
          <w:sz w:val="30"/>
          <w:szCs w:val="30"/>
          <w:u w:val="none"/>
        </w:rPr>
        <w:fldChar w:fldCharType="end"/>
      </w:r>
      <w:r>
        <w:rPr>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_Toc2400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第32条 构建“一带两屏，多廊全网”生态保护格局</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_Toc2400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31</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_Toc13281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第33条 发挥“一带”的生态脊梁作用</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_Toc13281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32</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_Toc14940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第34条 夯实“两屏”的生态筑底作用</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_Toc14940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32</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_Toc25378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第35条 强化“多廊”的生态骨架作用</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_Toc25378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33</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_Toc2461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第36条 织补“全网”的生态连通作用</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_Toc2461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33</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_Toc29558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第37条 建立自然保护地体系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_Toc29558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34</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4"/>
        <w:tabs>
          <w:tab w:val="right" w:leader="dot" w:pos="9072"/>
          <w:tab w:val="clear" w:pos="8296"/>
        </w:tabs>
        <w:jc w:val="both"/>
        <w:rPr>
          <w:b w:val="0"/>
          <w:bCs w:val="0"/>
          <w:sz w:val="30"/>
          <w:szCs w:val="30"/>
          <w:u w:val="none"/>
        </w:rPr>
      </w:pPr>
      <w:r>
        <w:rPr>
          <w:b w:val="0"/>
          <w:bCs w:val="0"/>
          <w:sz w:val="30"/>
          <w:szCs w:val="30"/>
          <w:u w:val="none"/>
          <w:lang w:val="zh-CN"/>
        </w:rPr>
        <w:fldChar w:fldCharType="begin"/>
      </w:r>
      <w:r>
        <w:rPr>
          <w:b w:val="0"/>
          <w:bCs w:val="0"/>
          <w:sz w:val="30"/>
          <w:szCs w:val="30"/>
          <w:u w:val="none"/>
          <w:lang w:val="zh-CN"/>
        </w:rPr>
        <w:instrText xml:space="preserve"> HYPERLINK \l _Toc7929 </w:instrText>
      </w:r>
      <w:r>
        <w:rPr>
          <w:b w:val="0"/>
          <w:bCs w:val="0"/>
          <w:sz w:val="30"/>
          <w:szCs w:val="30"/>
          <w:u w:val="none"/>
          <w:lang w:val="zh-CN"/>
        </w:rPr>
        <w:fldChar w:fldCharType="separate"/>
      </w:r>
      <w:r>
        <w:rPr>
          <w:rFonts w:hint="eastAsia" w:ascii="Times New Roman" w:hAnsi="Times New Roman" w:eastAsia="黑体" w:cs="黑体"/>
          <w:b w:val="0"/>
          <w:bCs w:val="0"/>
          <w:sz w:val="30"/>
          <w:szCs w:val="30"/>
          <w:u w:val="none"/>
        </w:rPr>
        <w:t xml:space="preserve">第七章 </w:t>
      </w:r>
      <w:r>
        <w:rPr>
          <w:b w:val="0"/>
          <w:bCs w:val="0"/>
          <w:sz w:val="30"/>
          <w:szCs w:val="30"/>
          <w:u w:val="none"/>
        </w:rPr>
        <w:t>城镇空间</w:t>
      </w:r>
      <w:r>
        <w:rPr>
          <w:b w:val="0"/>
          <w:bCs w:val="0"/>
          <w:sz w:val="30"/>
          <w:szCs w:val="30"/>
          <w:u w:val="none"/>
        </w:rPr>
        <w:tab/>
      </w:r>
      <w:r>
        <w:rPr>
          <w:b w:val="0"/>
          <w:bCs w:val="0"/>
          <w:sz w:val="30"/>
          <w:szCs w:val="30"/>
          <w:u w:val="none"/>
        </w:rPr>
        <w:fldChar w:fldCharType="begin"/>
      </w:r>
      <w:r>
        <w:rPr>
          <w:b w:val="0"/>
          <w:bCs w:val="0"/>
          <w:sz w:val="30"/>
          <w:szCs w:val="30"/>
          <w:u w:val="none"/>
        </w:rPr>
        <w:instrText xml:space="preserve"> PAGEREF _Toc7929 \h </w:instrText>
      </w:r>
      <w:r>
        <w:rPr>
          <w:b w:val="0"/>
          <w:bCs w:val="0"/>
          <w:sz w:val="30"/>
          <w:szCs w:val="30"/>
          <w:u w:val="none"/>
        </w:rPr>
        <w:fldChar w:fldCharType="separate"/>
      </w:r>
      <w:r>
        <w:rPr>
          <w:b w:val="0"/>
          <w:bCs w:val="0"/>
          <w:sz w:val="30"/>
          <w:szCs w:val="30"/>
          <w:u w:val="none"/>
        </w:rPr>
        <w:t>35</w:t>
      </w:r>
      <w:r>
        <w:rPr>
          <w:b w:val="0"/>
          <w:bCs w:val="0"/>
          <w:sz w:val="30"/>
          <w:szCs w:val="30"/>
          <w:u w:val="none"/>
        </w:rPr>
        <w:fldChar w:fldCharType="end"/>
      </w:r>
      <w:r>
        <w:rPr>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_Toc7800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第一节 城市开发格局</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_Toc7800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35</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_Toc8789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第38条 形成“一主一副、一特一优、若干组团”全域城镇空间格局</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_Toc8789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35</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_Toc13921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第39条 优化市域城镇规模等级体系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_Toc13921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36</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_Toc26438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第40条 确定市域城镇职能结构体系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_Toc26438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36</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_Toc27052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第41条 规划四级中心体系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_Toc27052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38</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_Toc20141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第二节 产业发展格局</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_Toc20141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39</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_Toc6335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第42条 优化产业布局</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_Toc6335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39</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_Toc22073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第43条 完善工业空间布局</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_Toc22073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41</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_Toc30183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第44条 保障5.0产业新空间</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_Toc30183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41</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_Toc19703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第45条 严守工业用地控制线</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_Toc19703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41</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_Toc10796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第46条 优化产业空间资源配置</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_Toc10796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42</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_Toc7505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第三节 人口分布和城镇建设用地结构</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_Toc7505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43</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_Toc19909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第47条 引导人口合理分布</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_Toc19909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43</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_Toc24627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第48条 调整城镇建设用地结构</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_Toc24627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44</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_Toc14647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第四节 居住生活空间</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_Toc14647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44</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_Toc18993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第49条 明确住房供应目标</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_Toc18993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44</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_Toc7267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第50条 优化住房供应体系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_Toc7267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45</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_Toc19158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第51条 精准投放新增居住空间</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_Toc19158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45</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_Toc29459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第五节 公共服务体系</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_Toc29459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46</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_Toc14223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第52条 建立匹配四级架构的公共服务网络体系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_Toc14223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46</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_Toc27322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第53条 构建时尚艺术的文化服务体系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_Toc27322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47</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_Toc26315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第54条 建立高质量的教育设施体系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_Toc26315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47</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_Toc11151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第55条 打造富有活力的体育设施体系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_Toc11151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48</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_Toc1356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第56条 夯实高效均衡的医疗卫生体系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_Toc1356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49</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_Toc18219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第57条 形成健全规范的社会福利设施体系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_Toc18219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49</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_Toc32440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第58条 构建社区生活圈</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_Toc32440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49</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_Toc24903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第六节 绿色开敞空间</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_Toc24903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50</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_Toc23524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第59条 构建绿色开敞空间体系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_Toc23524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50</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_Toc2906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第60条 共建蓝绿相融的游憩廊道网络</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_Toc2906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50</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_Toc19586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第61条 推进都市田园建设</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_Toc19586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51</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_Toc21020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第62条 营造城市公共艺术空间</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_Toc21020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51</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_Toc32521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第七节 再利用土地</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_Toc32521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51</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_Toc13376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第63条 明确再利用土地概念</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_Toc13376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51</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_Toc16659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第64条 统筹土地再利用目标</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_Toc16659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52</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_Toc13283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第65条 制定土地再利用策略</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_Toc13283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52</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_Toc29579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第66条 划定再利用重点区域</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_Toc29579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52</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_Toc124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第67条 积极处置批而未供用地</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_Toc124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53</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_Toc31067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第68条 鼓励盘活供而未建用地</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_Toc31067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53</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_Toc25946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第69条 加快整治竣工违约用地</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_Toc25946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53</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_Toc15483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第70条 有序推进城市更新</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_Toc15483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53</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_Toc18666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第71条 加强更新规划统筹</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_Toc18666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54</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_Toc1172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第72条 鼓励探索成片更新</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_Toc1172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54</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_Toc11104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第73条 积极开展有机更新</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_Toc11104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55</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4"/>
        <w:tabs>
          <w:tab w:val="right" w:leader="dot" w:pos="9072"/>
          <w:tab w:val="clear" w:pos="8296"/>
        </w:tabs>
        <w:rPr>
          <w:b w:val="0"/>
          <w:bCs w:val="0"/>
          <w:sz w:val="30"/>
          <w:szCs w:val="30"/>
          <w:u w:val="none"/>
        </w:rPr>
      </w:pPr>
      <w:r>
        <w:rPr>
          <w:b w:val="0"/>
          <w:bCs w:val="0"/>
          <w:sz w:val="30"/>
          <w:szCs w:val="30"/>
          <w:u w:val="none"/>
          <w:lang w:val="zh-CN"/>
        </w:rPr>
        <w:fldChar w:fldCharType="begin"/>
      </w:r>
      <w:r>
        <w:rPr>
          <w:b w:val="0"/>
          <w:bCs w:val="0"/>
          <w:sz w:val="30"/>
          <w:szCs w:val="30"/>
          <w:u w:val="none"/>
          <w:lang w:val="zh-CN"/>
        </w:rPr>
        <w:instrText xml:space="preserve"> HYPERLINK \l _Toc29584 </w:instrText>
      </w:r>
      <w:r>
        <w:rPr>
          <w:b w:val="0"/>
          <w:bCs w:val="0"/>
          <w:sz w:val="30"/>
          <w:szCs w:val="30"/>
          <w:u w:val="none"/>
          <w:lang w:val="zh-CN"/>
        </w:rPr>
        <w:fldChar w:fldCharType="separate"/>
      </w:r>
      <w:r>
        <w:rPr>
          <w:rFonts w:hint="eastAsia" w:ascii="Times New Roman" w:hAnsi="Times New Roman" w:eastAsia="黑体" w:cs="黑体"/>
          <w:b w:val="0"/>
          <w:bCs w:val="0"/>
          <w:sz w:val="30"/>
          <w:szCs w:val="30"/>
          <w:u w:val="none"/>
        </w:rPr>
        <w:t xml:space="preserve">第八章 </w:t>
      </w:r>
      <w:r>
        <w:rPr>
          <w:rFonts w:hint="eastAsia"/>
          <w:b w:val="0"/>
          <w:bCs w:val="0"/>
          <w:sz w:val="30"/>
          <w:szCs w:val="30"/>
          <w:u w:val="none"/>
        </w:rPr>
        <w:t>中心城区</w:t>
      </w:r>
      <w:r>
        <w:rPr>
          <w:b w:val="0"/>
          <w:bCs w:val="0"/>
          <w:sz w:val="30"/>
          <w:szCs w:val="30"/>
          <w:u w:val="none"/>
        </w:rPr>
        <w:tab/>
      </w:r>
      <w:r>
        <w:rPr>
          <w:b w:val="0"/>
          <w:bCs w:val="0"/>
          <w:sz w:val="30"/>
          <w:szCs w:val="30"/>
          <w:u w:val="none"/>
        </w:rPr>
        <w:fldChar w:fldCharType="begin"/>
      </w:r>
      <w:r>
        <w:rPr>
          <w:b w:val="0"/>
          <w:bCs w:val="0"/>
          <w:sz w:val="30"/>
          <w:szCs w:val="30"/>
          <w:u w:val="none"/>
        </w:rPr>
        <w:instrText xml:space="preserve"> PAGEREF _Toc29584 \h </w:instrText>
      </w:r>
      <w:r>
        <w:rPr>
          <w:b w:val="0"/>
          <w:bCs w:val="0"/>
          <w:sz w:val="30"/>
          <w:szCs w:val="30"/>
          <w:u w:val="none"/>
        </w:rPr>
        <w:fldChar w:fldCharType="separate"/>
      </w:r>
      <w:r>
        <w:rPr>
          <w:b w:val="0"/>
          <w:bCs w:val="0"/>
          <w:sz w:val="30"/>
          <w:szCs w:val="30"/>
          <w:u w:val="none"/>
        </w:rPr>
        <w:t>56</w:t>
      </w:r>
      <w:r>
        <w:rPr>
          <w:b w:val="0"/>
          <w:bCs w:val="0"/>
          <w:sz w:val="30"/>
          <w:szCs w:val="30"/>
          <w:u w:val="none"/>
        </w:rPr>
        <w:fldChar w:fldCharType="end"/>
      </w:r>
      <w:r>
        <w:rPr>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_Toc18295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第一节 定位与策略</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_Toc18295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56</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_Toc24523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第74条 总体</w:t>
      </w:r>
      <w:r>
        <w:rPr>
          <w:rFonts w:hint="eastAsia" w:ascii="Times New Roman" w:hAnsi="Times New Roman" w:eastAsia="仿宋_GB2312" w:cs="仿宋_GB2312"/>
          <w:b w:val="0"/>
          <w:bCs w:val="0"/>
          <w:sz w:val="30"/>
          <w:szCs w:val="30"/>
          <w:u w:val="none"/>
          <w:lang w:val="en-US"/>
        </w:rPr>
        <w:t>定位</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_Toc24523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56</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_Toc20069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第75条 坚定“强心聚能”</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_Toc20069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56</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_Toc16585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第76条 促进“融合发展”</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_Toc16585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56</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_Toc16436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第77条 坚持“中高</w:t>
      </w:r>
      <w:r>
        <w:rPr>
          <w:rFonts w:hint="eastAsia" w:ascii="Times New Roman" w:hAnsi="Times New Roman" w:eastAsia="仿宋_GB2312" w:cs="仿宋_GB2312"/>
          <w:b w:val="0"/>
          <w:bCs w:val="0"/>
          <w:sz w:val="30"/>
          <w:szCs w:val="30"/>
          <w:u w:val="none"/>
          <w:lang w:val="en-US"/>
        </w:rPr>
        <w:t>密度</w:t>
      </w:r>
      <w:r>
        <w:rPr>
          <w:rFonts w:hint="eastAsia" w:ascii="Times New Roman" w:hAnsi="Times New Roman" w:eastAsia="仿宋_GB2312" w:cs="仿宋_GB2312"/>
          <w:b w:val="0"/>
          <w:bCs w:val="0"/>
          <w:sz w:val="30"/>
          <w:szCs w:val="30"/>
          <w:u w:val="none"/>
          <w:lang w:val="zh-CN"/>
        </w:rPr>
        <w:t>”</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_Toc16436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57</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_Toc19100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第78条 实施“双增双控”</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_Toc19100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57</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_Toc11295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第79条 推进“集聚提效”</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_Toc11295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57</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_Toc30036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第80条 加快“优网</w:t>
      </w:r>
      <w:r>
        <w:rPr>
          <w:rFonts w:hint="eastAsia" w:ascii="Times New Roman" w:hAnsi="Times New Roman" w:eastAsia="仿宋_GB2312" w:cs="仿宋_GB2312"/>
          <w:b w:val="0"/>
          <w:bCs w:val="0"/>
          <w:sz w:val="30"/>
          <w:szCs w:val="30"/>
          <w:u w:val="none"/>
          <w:lang w:val="en-US"/>
        </w:rPr>
        <w:t>畅行</w:t>
      </w:r>
      <w:r>
        <w:rPr>
          <w:rFonts w:hint="eastAsia" w:ascii="Times New Roman" w:hAnsi="Times New Roman" w:eastAsia="仿宋_GB2312" w:cs="仿宋_GB2312"/>
          <w:b w:val="0"/>
          <w:bCs w:val="0"/>
          <w:sz w:val="30"/>
          <w:szCs w:val="30"/>
          <w:u w:val="none"/>
          <w:lang w:val="zh-CN"/>
        </w:rPr>
        <w:t>”</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_Toc30036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58</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_Toc16553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第81条 实现“显山亮水”</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_Toc16553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58</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_Toc22845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第二节 功能分区与土地利用</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_Toc22845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58</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_Toc4478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第82条 明确</w:t>
      </w:r>
      <w:r>
        <w:rPr>
          <w:rFonts w:hint="eastAsia" w:ascii="Times New Roman" w:hAnsi="Times New Roman" w:eastAsia="仿宋_GB2312" w:cs="仿宋_GB2312"/>
          <w:b w:val="0"/>
          <w:bCs w:val="0"/>
          <w:sz w:val="30"/>
          <w:szCs w:val="30"/>
          <w:u w:val="none"/>
          <w:lang w:val="en-US"/>
        </w:rPr>
        <w:t>功能</w:t>
      </w:r>
      <w:r>
        <w:rPr>
          <w:rFonts w:hint="eastAsia" w:ascii="Times New Roman" w:hAnsi="Times New Roman" w:eastAsia="仿宋_GB2312" w:cs="仿宋_GB2312"/>
          <w:b w:val="0"/>
          <w:bCs w:val="0"/>
          <w:sz w:val="30"/>
          <w:szCs w:val="30"/>
          <w:u w:val="none"/>
          <w:lang w:val="zh-CN"/>
        </w:rPr>
        <w:t>分区</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_Toc4478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58</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_Toc19887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第83条 优化用地结构</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_Toc19887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59</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_Toc26987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第三节 公共服务与社区生活圈</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_Toc26987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59</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_Toc26558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第84条 筑牢基础教育建设根基</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_Toc26558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59</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_Toc28899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第85条 建设现代医疗卫生体系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_Toc28899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59</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_Toc7949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第86条 推进文化艺术设施建设</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_Toc7949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60</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_Toc30193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第87条 提升体育健身设施品质</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_Toc30193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60</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_Toc21134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第88条 强化社会保障设施体系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_Toc21134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60</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_Toc18573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第89条 完善邻里公共服务设施</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_Toc18573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61</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_Toc29691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第四节 居住与住房保障</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_Toc29691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61</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_Toc30371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第90条 控制住房供给节奏</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_Toc30371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61</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_Toc6210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第91条 加大住房保障力度</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_Toc6210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61</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_Toc19795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第五节 城市设计与景观风貌</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_Toc19795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61</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_Toc23619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第92条 延续“山海城相拥”的空间意象</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_Toc23619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62</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_Toc28980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第93条 构建“一带两轴三山”的景观系统</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_Toc28980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62</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_Toc18578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第94条 完善公园绿地和开敞空间体系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_Toc18578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62</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_Toc11673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第95条 推进道路绿化整治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_Toc11673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63</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_Toc29713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第96条 推进碧道景观提升</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_Toc29713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63</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_Toc23346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第97条 塑造文旅特色氛围</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_Toc23346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63</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_Toc25764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第六节 城市道路交通系统</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_Toc25764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64</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_Toc125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第98条 塑造高效便捷对外交通</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_Toc125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64</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_Toc26196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第99条 打造珠澳一体交通枢纽</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_Toc26196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65</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_Toc8923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第100条 构建中心城区快速环线</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_Toc8923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65</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_Toc5262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第101条 提供优质便捷公交服务</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_Toc5262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66</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_Toc13649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第102条 打造特色品质慢行交通</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_Toc13649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66</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_Toc28263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第103条 全面推进综合交通治理</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_Toc28263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67</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_Toc14899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第七节 市政基础设施与城市安全</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_Toc14899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67</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_Toc22038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第104条 建设安全高效的供水系统</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_Toc22038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67</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_Toc5966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第105条 建成环保高效的污水系统</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_Toc5966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67</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_Toc7409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第106条 建设强韧性的排水防涝体系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_Toc7409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68</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_Toc22611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第107条 构建清洁高效的能源供应体系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_Toc22611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68</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_Toc2235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第108条 建成高速、智慧的信息支撑系统</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_Toc2235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69</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_Toc14726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第109条 完善固体废物收运处理体系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_Toc14726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69</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_Toc25610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第110条 提高城市防洪防涝能力</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_Toc25610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69</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_Toc25860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第111条 提升消防应急救援能力</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_Toc25860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70</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_Toc31482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第八节 地下空间开发利用</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_Toc31482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70</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_Toc24347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第112条 提高地下空间利用效率</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_Toc24347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70</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_Toc11935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第113条 实施地下空间利用分区管控</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_Toc11935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70</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_Toc17036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第114条 强化地上地下空间协同</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_Toc17036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71</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_Toc23754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第九节 控制线划定与管控</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_Toc23754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71</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_Toc13231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第115条 城市绿线</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_Toc13231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71</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_Toc1815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第116条 城市蓝线</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_Toc1815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72</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_Toc27080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第117条 城市黄线</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_Toc27080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72</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_Toc15209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第118条 城市紫线</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_Toc15209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72</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_Toc26651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第119条 工业用地控制线</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_Toc26651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72</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_Toc4406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第十节 详细规划单元划定与管控</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_Toc4406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73</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_Toc3195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第120条 划定基本城市组团和邻里单元</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_Toc3195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73</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_Toc27226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第121条 加强详细规划传导和管控</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_Toc27226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73</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4"/>
        <w:tabs>
          <w:tab w:val="right" w:leader="dot" w:pos="9072"/>
          <w:tab w:val="clear" w:pos="8296"/>
        </w:tabs>
        <w:rPr>
          <w:b w:val="0"/>
          <w:bCs w:val="0"/>
          <w:sz w:val="30"/>
          <w:szCs w:val="30"/>
          <w:u w:val="none"/>
        </w:rPr>
      </w:pPr>
      <w:r>
        <w:rPr>
          <w:b w:val="0"/>
          <w:bCs w:val="0"/>
          <w:sz w:val="30"/>
          <w:szCs w:val="30"/>
          <w:u w:val="none"/>
          <w:lang w:val="zh-CN"/>
        </w:rPr>
        <w:fldChar w:fldCharType="begin"/>
      </w:r>
      <w:r>
        <w:rPr>
          <w:b w:val="0"/>
          <w:bCs w:val="0"/>
          <w:sz w:val="30"/>
          <w:szCs w:val="30"/>
          <w:u w:val="none"/>
          <w:lang w:val="zh-CN"/>
        </w:rPr>
        <w:instrText xml:space="preserve"> HYPERLINK \l _Toc23362 </w:instrText>
      </w:r>
      <w:r>
        <w:rPr>
          <w:b w:val="0"/>
          <w:bCs w:val="0"/>
          <w:sz w:val="30"/>
          <w:szCs w:val="30"/>
          <w:u w:val="none"/>
          <w:lang w:val="zh-CN"/>
        </w:rPr>
        <w:fldChar w:fldCharType="separate"/>
      </w:r>
      <w:r>
        <w:rPr>
          <w:rFonts w:hint="eastAsia" w:ascii="Times New Roman" w:hAnsi="Times New Roman" w:eastAsia="黑体" w:cs="黑体"/>
          <w:b w:val="0"/>
          <w:bCs w:val="0"/>
          <w:sz w:val="30"/>
          <w:szCs w:val="30"/>
          <w:u w:val="none"/>
        </w:rPr>
        <w:t xml:space="preserve">第九章 </w:t>
      </w:r>
      <w:r>
        <w:rPr>
          <w:rFonts w:hint="eastAsia"/>
          <w:b w:val="0"/>
          <w:bCs w:val="0"/>
          <w:sz w:val="30"/>
          <w:szCs w:val="30"/>
          <w:u w:val="none"/>
        </w:rPr>
        <w:t>历史文化保护和风貌塑造</w:t>
      </w:r>
      <w:r>
        <w:rPr>
          <w:b w:val="0"/>
          <w:bCs w:val="0"/>
          <w:sz w:val="30"/>
          <w:szCs w:val="30"/>
          <w:u w:val="none"/>
        </w:rPr>
        <w:tab/>
      </w:r>
      <w:r>
        <w:rPr>
          <w:b w:val="0"/>
          <w:bCs w:val="0"/>
          <w:sz w:val="30"/>
          <w:szCs w:val="30"/>
          <w:u w:val="none"/>
        </w:rPr>
        <w:fldChar w:fldCharType="begin"/>
      </w:r>
      <w:r>
        <w:rPr>
          <w:b w:val="0"/>
          <w:bCs w:val="0"/>
          <w:sz w:val="30"/>
          <w:szCs w:val="30"/>
          <w:u w:val="none"/>
        </w:rPr>
        <w:instrText xml:space="preserve"> PAGEREF _Toc23362 \h </w:instrText>
      </w:r>
      <w:r>
        <w:rPr>
          <w:b w:val="0"/>
          <w:bCs w:val="0"/>
          <w:sz w:val="30"/>
          <w:szCs w:val="30"/>
          <w:u w:val="none"/>
        </w:rPr>
        <w:fldChar w:fldCharType="separate"/>
      </w:r>
      <w:r>
        <w:rPr>
          <w:b w:val="0"/>
          <w:bCs w:val="0"/>
          <w:sz w:val="30"/>
          <w:szCs w:val="30"/>
          <w:u w:val="none"/>
        </w:rPr>
        <w:t>74</w:t>
      </w:r>
      <w:r>
        <w:rPr>
          <w:b w:val="0"/>
          <w:bCs w:val="0"/>
          <w:sz w:val="30"/>
          <w:szCs w:val="30"/>
          <w:u w:val="none"/>
        </w:rPr>
        <w:fldChar w:fldCharType="end"/>
      </w:r>
      <w:r>
        <w:rPr>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_Toc12774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第一节 大生态空间体系</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_Toc12774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74</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_Toc32175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第122条 构建生命共同体生态空间</w:t>
      </w:r>
      <w:r>
        <w:rPr>
          <w:rFonts w:hint="eastAsia" w:ascii="Times New Roman" w:hAnsi="Times New Roman" w:eastAsia="仿宋_GB2312" w:cs="仿宋_GB2312"/>
          <w:b w:val="0"/>
          <w:bCs w:val="0"/>
          <w:sz w:val="30"/>
          <w:szCs w:val="30"/>
          <w:u w:val="none"/>
          <w:lang w:val="en-US"/>
        </w:rPr>
        <w:t>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_Toc32175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74</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_Toc6123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 xml:space="preserve">第123条 </w:t>
      </w:r>
      <w:r>
        <w:rPr>
          <w:rFonts w:hint="eastAsia" w:ascii="Times New Roman" w:hAnsi="Times New Roman" w:eastAsia="仿宋_GB2312" w:cs="仿宋_GB2312"/>
          <w:b w:val="0"/>
          <w:bCs w:val="0"/>
          <w:sz w:val="30"/>
          <w:szCs w:val="30"/>
          <w:u w:val="none"/>
          <w:lang w:val="en-US"/>
        </w:rPr>
        <w:t>营造</w:t>
      </w:r>
      <w:r>
        <w:rPr>
          <w:rFonts w:hint="eastAsia" w:ascii="Times New Roman" w:hAnsi="Times New Roman" w:eastAsia="仿宋_GB2312" w:cs="仿宋_GB2312"/>
          <w:b w:val="0"/>
          <w:bCs w:val="0"/>
          <w:sz w:val="30"/>
          <w:szCs w:val="30"/>
          <w:u w:val="none"/>
          <w:lang w:val="zh-CN"/>
        </w:rPr>
        <w:t>城市绿色空间</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_Toc6123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74</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_Toc19045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第二节 整体城市景观</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_Toc19045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76</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_Toc409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第124条 坚持中密度发展</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_Toc409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76</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_Toc14724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第125条 整合全域旅游资源</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_Toc14724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76</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_Toc23779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第126条 塑造城市</w:t>
      </w:r>
      <w:r>
        <w:rPr>
          <w:rFonts w:hint="eastAsia" w:ascii="Times New Roman" w:hAnsi="Times New Roman" w:eastAsia="仿宋_GB2312" w:cs="仿宋_GB2312"/>
          <w:b w:val="0"/>
          <w:bCs w:val="0"/>
          <w:sz w:val="30"/>
          <w:szCs w:val="30"/>
          <w:u w:val="none"/>
          <w:lang w:val="en-US"/>
        </w:rPr>
        <w:t>景观</w:t>
      </w:r>
      <w:r>
        <w:rPr>
          <w:rFonts w:hint="eastAsia" w:ascii="Times New Roman" w:hAnsi="Times New Roman" w:eastAsia="仿宋_GB2312" w:cs="仿宋_GB2312"/>
          <w:b w:val="0"/>
          <w:bCs w:val="0"/>
          <w:sz w:val="30"/>
          <w:szCs w:val="30"/>
          <w:u w:val="none"/>
          <w:lang w:val="zh-CN"/>
        </w:rPr>
        <w:t>风貌</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_Toc23779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77</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_Toc9811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第127条 建设具有</w:t>
      </w:r>
      <w:r>
        <w:rPr>
          <w:rFonts w:hint="eastAsia" w:ascii="Times New Roman" w:hAnsi="Times New Roman" w:eastAsia="仿宋_GB2312" w:cs="仿宋_GB2312"/>
          <w:b w:val="0"/>
          <w:bCs w:val="0"/>
          <w:sz w:val="30"/>
          <w:szCs w:val="30"/>
          <w:u w:val="none"/>
          <w:lang w:val="en-US"/>
        </w:rPr>
        <w:t>吸引力</w:t>
      </w:r>
      <w:r>
        <w:rPr>
          <w:rFonts w:hint="eastAsia" w:ascii="Times New Roman" w:hAnsi="Times New Roman" w:eastAsia="仿宋_GB2312" w:cs="仿宋_GB2312"/>
          <w:b w:val="0"/>
          <w:bCs w:val="0"/>
          <w:sz w:val="30"/>
          <w:szCs w:val="30"/>
          <w:u w:val="none"/>
          <w:lang w:val="zh-CN"/>
        </w:rPr>
        <w:t>的公共空间</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_Toc9811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79</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_Toc12424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第三节 精明增长</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_Toc12424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80</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_Toc6860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第128条 集约有序推进城市建设</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_Toc6860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80</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_Toc19464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第129条 协调新城开发与旧城更新</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_Toc19464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80</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_Toc2092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第130条 实施复合开发提升</w:t>
      </w:r>
      <w:r>
        <w:rPr>
          <w:rFonts w:hint="eastAsia" w:ascii="Times New Roman" w:hAnsi="Times New Roman" w:eastAsia="仿宋_GB2312" w:cs="仿宋_GB2312"/>
          <w:b w:val="0"/>
          <w:bCs w:val="0"/>
          <w:sz w:val="30"/>
          <w:szCs w:val="30"/>
          <w:u w:val="none"/>
          <w:lang w:val="en-US"/>
        </w:rPr>
        <w:t>土地</w:t>
      </w:r>
      <w:r>
        <w:rPr>
          <w:rFonts w:hint="eastAsia" w:ascii="Times New Roman" w:hAnsi="Times New Roman" w:eastAsia="仿宋_GB2312" w:cs="仿宋_GB2312"/>
          <w:b w:val="0"/>
          <w:bCs w:val="0"/>
          <w:sz w:val="30"/>
          <w:szCs w:val="30"/>
          <w:u w:val="none"/>
          <w:lang w:val="zh-CN"/>
        </w:rPr>
        <w:t>效率</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_Toc2092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80</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_Toc17505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第四节 历史文化保护与合理利用</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_Toc17505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81</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_Toc23888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第131条 打造滨海</w:t>
      </w:r>
      <w:r>
        <w:rPr>
          <w:rFonts w:hint="eastAsia" w:ascii="Times New Roman" w:hAnsi="Times New Roman" w:eastAsia="仿宋_GB2312" w:cs="仿宋_GB2312"/>
          <w:b w:val="0"/>
          <w:bCs w:val="0"/>
          <w:sz w:val="30"/>
          <w:szCs w:val="30"/>
          <w:u w:val="none"/>
          <w:lang w:val="en-US"/>
        </w:rPr>
        <w:t>特色</w:t>
      </w:r>
      <w:r>
        <w:rPr>
          <w:rFonts w:hint="eastAsia" w:ascii="Times New Roman" w:hAnsi="Times New Roman" w:eastAsia="仿宋_GB2312" w:cs="仿宋_GB2312"/>
          <w:b w:val="0"/>
          <w:bCs w:val="0"/>
          <w:sz w:val="30"/>
          <w:szCs w:val="30"/>
          <w:u w:val="none"/>
          <w:lang w:val="zh-CN"/>
        </w:rPr>
        <w:t>文化名城</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_Toc23888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81</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_Toc2958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第132条 完善历史</w:t>
      </w:r>
      <w:r>
        <w:rPr>
          <w:rFonts w:hint="eastAsia" w:ascii="Times New Roman" w:hAnsi="Times New Roman" w:eastAsia="仿宋_GB2312" w:cs="仿宋_GB2312"/>
          <w:b w:val="0"/>
          <w:bCs w:val="0"/>
          <w:sz w:val="30"/>
          <w:szCs w:val="30"/>
          <w:u w:val="none"/>
          <w:lang w:val="en-US"/>
        </w:rPr>
        <w:t>文化</w:t>
      </w:r>
      <w:r>
        <w:rPr>
          <w:rFonts w:hint="eastAsia" w:ascii="Times New Roman" w:hAnsi="Times New Roman" w:eastAsia="仿宋_GB2312" w:cs="仿宋_GB2312"/>
          <w:b w:val="0"/>
          <w:bCs w:val="0"/>
          <w:sz w:val="30"/>
          <w:szCs w:val="30"/>
          <w:u w:val="none"/>
          <w:lang w:val="zh-CN"/>
        </w:rPr>
        <w:t>保护传承体系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_Toc2958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81</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_Toc12452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第133条 强化历史文化遗产保护</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_Toc12452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82</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4"/>
        <w:tabs>
          <w:tab w:val="right" w:leader="dot" w:pos="9072"/>
          <w:tab w:val="clear" w:pos="8296"/>
        </w:tabs>
        <w:rPr>
          <w:b w:val="0"/>
          <w:bCs w:val="0"/>
          <w:sz w:val="30"/>
          <w:szCs w:val="30"/>
          <w:u w:val="none"/>
        </w:rPr>
      </w:pPr>
      <w:r>
        <w:rPr>
          <w:b w:val="0"/>
          <w:bCs w:val="0"/>
          <w:sz w:val="30"/>
          <w:szCs w:val="30"/>
          <w:u w:val="none"/>
          <w:lang w:val="zh-CN"/>
        </w:rPr>
        <w:fldChar w:fldCharType="begin"/>
      </w:r>
      <w:r>
        <w:rPr>
          <w:b w:val="0"/>
          <w:bCs w:val="0"/>
          <w:sz w:val="30"/>
          <w:szCs w:val="30"/>
          <w:u w:val="none"/>
          <w:lang w:val="zh-CN"/>
        </w:rPr>
        <w:instrText xml:space="preserve"> HYPERLINK \l _Toc8477 </w:instrText>
      </w:r>
      <w:r>
        <w:rPr>
          <w:b w:val="0"/>
          <w:bCs w:val="0"/>
          <w:sz w:val="30"/>
          <w:szCs w:val="30"/>
          <w:u w:val="none"/>
          <w:lang w:val="zh-CN"/>
        </w:rPr>
        <w:fldChar w:fldCharType="separate"/>
      </w:r>
      <w:r>
        <w:rPr>
          <w:rFonts w:hint="eastAsia" w:ascii="Times New Roman" w:hAnsi="Times New Roman" w:eastAsia="黑体" w:cs="黑体"/>
          <w:b w:val="0"/>
          <w:bCs w:val="0"/>
          <w:sz w:val="30"/>
          <w:szCs w:val="30"/>
          <w:u w:val="none"/>
        </w:rPr>
        <w:t xml:space="preserve">第十章 </w:t>
      </w:r>
      <w:r>
        <w:rPr>
          <w:b w:val="0"/>
          <w:bCs w:val="0"/>
          <w:sz w:val="30"/>
          <w:szCs w:val="30"/>
          <w:u w:val="none"/>
        </w:rPr>
        <w:t>综合</w:t>
      </w:r>
      <w:r>
        <w:rPr>
          <w:rFonts w:ascii="仿宋_GB2312"/>
          <w:b w:val="0"/>
          <w:bCs w:val="0"/>
          <w:sz w:val="30"/>
          <w:szCs w:val="30"/>
          <w:u w:val="none"/>
        </w:rPr>
        <w:t>交通</w:t>
      </w:r>
      <w:r>
        <w:rPr>
          <w:b w:val="0"/>
          <w:bCs w:val="0"/>
          <w:sz w:val="30"/>
          <w:szCs w:val="30"/>
          <w:u w:val="none"/>
        </w:rPr>
        <w:tab/>
      </w:r>
      <w:r>
        <w:rPr>
          <w:b w:val="0"/>
          <w:bCs w:val="0"/>
          <w:sz w:val="30"/>
          <w:szCs w:val="30"/>
          <w:u w:val="none"/>
        </w:rPr>
        <w:fldChar w:fldCharType="begin"/>
      </w:r>
      <w:r>
        <w:rPr>
          <w:b w:val="0"/>
          <w:bCs w:val="0"/>
          <w:sz w:val="30"/>
          <w:szCs w:val="30"/>
          <w:u w:val="none"/>
        </w:rPr>
        <w:instrText xml:space="preserve"> PAGEREF _Toc8477 \h </w:instrText>
      </w:r>
      <w:r>
        <w:rPr>
          <w:b w:val="0"/>
          <w:bCs w:val="0"/>
          <w:sz w:val="30"/>
          <w:szCs w:val="30"/>
          <w:u w:val="none"/>
        </w:rPr>
        <w:fldChar w:fldCharType="separate"/>
      </w:r>
      <w:r>
        <w:rPr>
          <w:b w:val="0"/>
          <w:bCs w:val="0"/>
          <w:sz w:val="30"/>
          <w:szCs w:val="30"/>
          <w:u w:val="none"/>
        </w:rPr>
        <w:t>84</w:t>
      </w:r>
      <w:r>
        <w:rPr>
          <w:b w:val="0"/>
          <w:bCs w:val="0"/>
          <w:sz w:val="30"/>
          <w:szCs w:val="30"/>
          <w:u w:val="none"/>
        </w:rPr>
        <w:fldChar w:fldCharType="end"/>
      </w:r>
      <w:r>
        <w:rPr>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_Toc8948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第一节 对外交通体系</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_Toc8948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84</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_Toc3160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第134条 打造开通</w:t>
      </w:r>
      <w:r>
        <w:rPr>
          <w:rFonts w:hint="eastAsia" w:ascii="Times New Roman" w:hAnsi="Times New Roman" w:eastAsia="仿宋_GB2312" w:cs="仿宋_GB2312"/>
          <w:b w:val="0"/>
          <w:bCs w:val="0"/>
          <w:sz w:val="30"/>
          <w:szCs w:val="30"/>
          <w:u w:val="none"/>
          <w:lang w:val="en-US"/>
        </w:rPr>
        <w:t>国际</w:t>
      </w:r>
      <w:r>
        <w:rPr>
          <w:rFonts w:hint="eastAsia" w:ascii="Times New Roman" w:hAnsi="Times New Roman" w:eastAsia="仿宋_GB2312" w:cs="仿宋_GB2312"/>
          <w:b w:val="0"/>
          <w:bCs w:val="0"/>
          <w:sz w:val="30"/>
          <w:szCs w:val="30"/>
          <w:u w:val="none"/>
          <w:lang w:val="zh-CN"/>
        </w:rPr>
        <w:t>航班的复合型区域枢纽机场</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_Toc3160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84</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_Toc2401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第135条 建设“一带一路”战略支点的区域枢纽港</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_Toc2401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84</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_Toc5334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第136条 协同澳门融入国家高铁网络</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_Toc5334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85</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_Toc8252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第137条 共建直连</w:t>
      </w:r>
      <w:r>
        <w:rPr>
          <w:rFonts w:hint="eastAsia" w:ascii="Times New Roman" w:hAnsi="Times New Roman" w:eastAsia="仿宋_GB2312" w:cs="仿宋_GB2312"/>
          <w:b w:val="0"/>
          <w:bCs w:val="0"/>
          <w:sz w:val="30"/>
          <w:szCs w:val="30"/>
          <w:u w:val="none"/>
          <w:lang w:val="en-US"/>
        </w:rPr>
        <w:t>直通</w:t>
      </w:r>
      <w:r>
        <w:rPr>
          <w:rFonts w:hint="eastAsia" w:ascii="Times New Roman" w:hAnsi="Times New Roman" w:eastAsia="仿宋_GB2312" w:cs="仿宋_GB2312"/>
          <w:b w:val="0"/>
          <w:bCs w:val="0"/>
          <w:sz w:val="30"/>
          <w:szCs w:val="30"/>
          <w:u w:val="none"/>
          <w:lang w:val="zh-CN"/>
        </w:rPr>
        <w:t>的湾区交通网络</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_Toc8252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86</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_Toc5227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 xml:space="preserve">第138条 </w:t>
      </w:r>
      <w:r>
        <w:rPr>
          <w:rFonts w:hint="eastAsia" w:ascii="Times New Roman" w:hAnsi="Times New Roman" w:eastAsia="仿宋_GB2312" w:cs="仿宋_GB2312"/>
          <w:b w:val="0"/>
          <w:bCs w:val="0"/>
          <w:sz w:val="30"/>
          <w:szCs w:val="30"/>
          <w:u w:val="none"/>
          <w:lang w:val="zh-CN"/>
        </w:rPr>
        <w:t>建立布局合理的口岸交通体系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_Toc5227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87</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_Toc21925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第二节 城市交通体系</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_Toc21925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88</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_Toc21976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第139条 创建模式多元、集约高效的公交都市</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_Toc21976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88</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_Toc29200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第140条 构建与基本城市组团高度匹配的干线路网格局</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_Toc29200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89</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_Toc19874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第141条 建设完善的陆岛交通体系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_Toc19874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90</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_Toc22060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第142条 推动慢行和静态交通全面升级</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_Toc22060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90</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_Toc9978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第143条 建设支撑城市高质量发展的物流系统</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_Toc9978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91</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_Toc188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 xml:space="preserve">第144条 </w:t>
      </w:r>
      <w:r>
        <w:rPr>
          <w:rFonts w:hint="eastAsia" w:ascii="Times New Roman" w:hAnsi="Times New Roman" w:eastAsia="仿宋_GB2312" w:cs="仿宋_GB2312"/>
          <w:b w:val="0"/>
          <w:bCs w:val="0"/>
          <w:sz w:val="30"/>
          <w:szCs w:val="30"/>
          <w:u w:val="none"/>
          <w:lang w:val="zh-CN"/>
        </w:rPr>
        <w:t>建立智慧高效的交通</w:t>
      </w:r>
      <w:r>
        <w:rPr>
          <w:rFonts w:hint="eastAsia" w:ascii="Times New Roman" w:hAnsi="Times New Roman" w:eastAsia="仿宋_GB2312" w:cs="仿宋_GB2312"/>
          <w:b w:val="0"/>
          <w:bCs w:val="0"/>
          <w:sz w:val="30"/>
          <w:szCs w:val="30"/>
          <w:u w:val="none"/>
          <w:lang w:val="en-US"/>
        </w:rPr>
        <w:t>管理</w:t>
      </w:r>
      <w:r>
        <w:rPr>
          <w:rFonts w:hint="eastAsia" w:ascii="Times New Roman" w:hAnsi="Times New Roman" w:eastAsia="仿宋_GB2312" w:cs="仿宋_GB2312"/>
          <w:b w:val="0"/>
          <w:bCs w:val="0"/>
          <w:sz w:val="30"/>
          <w:szCs w:val="30"/>
          <w:u w:val="none"/>
          <w:lang w:val="zh-CN"/>
        </w:rPr>
        <w:t>体制</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_Toc188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92</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4"/>
        <w:tabs>
          <w:tab w:val="right" w:leader="dot" w:pos="9072"/>
          <w:tab w:val="clear" w:pos="8296"/>
        </w:tabs>
        <w:rPr>
          <w:b w:val="0"/>
          <w:bCs w:val="0"/>
          <w:sz w:val="30"/>
          <w:szCs w:val="30"/>
          <w:u w:val="none"/>
        </w:rPr>
      </w:pPr>
      <w:r>
        <w:rPr>
          <w:b w:val="0"/>
          <w:bCs w:val="0"/>
          <w:sz w:val="30"/>
          <w:szCs w:val="30"/>
          <w:u w:val="none"/>
          <w:lang w:val="zh-CN"/>
        </w:rPr>
        <w:fldChar w:fldCharType="begin"/>
      </w:r>
      <w:r>
        <w:rPr>
          <w:b w:val="0"/>
          <w:bCs w:val="0"/>
          <w:sz w:val="30"/>
          <w:szCs w:val="30"/>
          <w:u w:val="none"/>
          <w:lang w:val="zh-CN"/>
        </w:rPr>
        <w:instrText xml:space="preserve"> HYPERLINK \l _Toc11427 </w:instrText>
      </w:r>
      <w:r>
        <w:rPr>
          <w:b w:val="0"/>
          <w:bCs w:val="0"/>
          <w:sz w:val="30"/>
          <w:szCs w:val="30"/>
          <w:u w:val="none"/>
          <w:lang w:val="zh-CN"/>
        </w:rPr>
        <w:fldChar w:fldCharType="separate"/>
      </w:r>
      <w:r>
        <w:rPr>
          <w:rFonts w:hint="eastAsia" w:ascii="Times New Roman" w:hAnsi="Times New Roman" w:eastAsia="黑体" w:cs="黑体"/>
          <w:b w:val="0"/>
          <w:bCs w:val="0"/>
          <w:sz w:val="30"/>
          <w:szCs w:val="30"/>
          <w:u w:val="none"/>
        </w:rPr>
        <w:t xml:space="preserve">第十一章 </w:t>
      </w:r>
      <w:r>
        <w:rPr>
          <w:b w:val="0"/>
          <w:bCs w:val="0"/>
          <w:sz w:val="30"/>
          <w:szCs w:val="30"/>
          <w:u w:val="none"/>
        </w:rPr>
        <w:t>市政基础设施和综合防灾</w:t>
      </w:r>
      <w:r>
        <w:rPr>
          <w:b w:val="0"/>
          <w:bCs w:val="0"/>
          <w:sz w:val="30"/>
          <w:szCs w:val="30"/>
          <w:u w:val="none"/>
        </w:rPr>
        <w:tab/>
      </w:r>
      <w:r>
        <w:rPr>
          <w:b w:val="0"/>
          <w:bCs w:val="0"/>
          <w:sz w:val="30"/>
          <w:szCs w:val="30"/>
          <w:u w:val="none"/>
        </w:rPr>
        <w:fldChar w:fldCharType="begin"/>
      </w:r>
      <w:r>
        <w:rPr>
          <w:b w:val="0"/>
          <w:bCs w:val="0"/>
          <w:sz w:val="30"/>
          <w:szCs w:val="30"/>
          <w:u w:val="none"/>
        </w:rPr>
        <w:instrText xml:space="preserve"> PAGEREF _Toc11427 \h </w:instrText>
      </w:r>
      <w:r>
        <w:rPr>
          <w:b w:val="0"/>
          <w:bCs w:val="0"/>
          <w:sz w:val="30"/>
          <w:szCs w:val="30"/>
          <w:u w:val="none"/>
        </w:rPr>
        <w:fldChar w:fldCharType="separate"/>
      </w:r>
      <w:r>
        <w:rPr>
          <w:b w:val="0"/>
          <w:bCs w:val="0"/>
          <w:sz w:val="30"/>
          <w:szCs w:val="30"/>
          <w:u w:val="none"/>
        </w:rPr>
        <w:t>93</w:t>
      </w:r>
      <w:r>
        <w:rPr>
          <w:b w:val="0"/>
          <w:bCs w:val="0"/>
          <w:sz w:val="30"/>
          <w:szCs w:val="30"/>
          <w:u w:val="none"/>
        </w:rPr>
        <w:fldChar w:fldCharType="end"/>
      </w:r>
      <w:r>
        <w:rPr>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_Toc25688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第一节 市政基础设施</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_Toc25688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93</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_Toc5679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第145条 构建安全可靠的</w:t>
      </w:r>
      <w:r>
        <w:rPr>
          <w:rFonts w:hint="eastAsia" w:ascii="Times New Roman" w:hAnsi="Times New Roman" w:eastAsia="仿宋_GB2312" w:cs="仿宋_GB2312"/>
          <w:b w:val="0"/>
          <w:bCs w:val="0"/>
          <w:sz w:val="30"/>
          <w:szCs w:val="30"/>
          <w:u w:val="none"/>
          <w:lang w:val="en-US"/>
        </w:rPr>
        <w:t>供水</w:t>
      </w:r>
      <w:r>
        <w:rPr>
          <w:rFonts w:hint="eastAsia" w:ascii="Times New Roman" w:hAnsi="Times New Roman" w:eastAsia="仿宋_GB2312" w:cs="仿宋_GB2312"/>
          <w:b w:val="0"/>
          <w:bCs w:val="0"/>
          <w:sz w:val="30"/>
          <w:szCs w:val="30"/>
          <w:u w:val="none"/>
          <w:lang w:val="zh-CN"/>
        </w:rPr>
        <w:t>系统</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_Toc5679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93</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_Toc5179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第146条 建设环境友好的城乡污水系统</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_Toc5179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93</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_Toc17425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第147条 推进海绵城市和排水防涝体系建设</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_Toc17425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94</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_Toc18571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第148条 构建安全低碳的现代能源供应体系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_Toc18571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95</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_Toc2392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第149条 构建多</w:t>
      </w:r>
      <w:r>
        <w:rPr>
          <w:rFonts w:hint="eastAsia" w:ascii="Times New Roman" w:hAnsi="Times New Roman" w:eastAsia="仿宋_GB2312" w:cs="仿宋_GB2312"/>
          <w:b w:val="0"/>
          <w:bCs w:val="0"/>
          <w:sz w:val="30"/>
          <w:szCs w:val="30"/>
          <w:u w:val="none"/>
          <w:lang w:val="en-US"/>
        </w:rPr>
        <w:t>主体</w:t>
      </w:r>
      <w:r>
        <w:rPr>
          <w:rFonts w:hint="eastAsia" w:ascii="Times New Roman" w:hAnsi="Times New Roman" w:eastAsia="仿宋_GB2312" w:cs="仿宋_GB2312"/>
          <w:b w:val="0"/>
          <w:bCs w:val="0"/>
          <w:sz w:val="30"/>
          <w:szCs w:val="30"/>
          <w:u w:val="none"/>
          <w:lang w:val="zh-CN"/>
        </w:rPr>
        <w:t>、全种类固体废物治理体系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_Toc2392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96</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_Toc32181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第150条 加强市政基础设施与廊道空间管控</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_Toc32181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96</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_Toc22532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第151条 鼓励市政基础设施</w:t>
      </w:r>
      <w:r>
        <w:rPr>
          <w:rFonts w:hint="eastAsia" w:ascii="Times New Roman" w:hAnsi="Times New Roman" w:eastAsia="仿宋_GB2312" w:cs="仿宋_GB2312"/>
          <w:b w:val="0"/>
          <w:bCs w:val="0"/>
          <w:sz w:val="30"/>
          <w:szCs w:val="30"/>
          <w:u w:val="none"/>
          <w:lang w:val="en-US"/>
        </w:rPr>
        <w:t>复合</w:t>
      </w:r>
      <w:r>
        <w:rPr>
          <w:rFonts w:hint="eastAsia" w:ascii="Times New Roman" w:hAnsi="Times New Roman" w:eastAsia="仿宋_GB2312" w:cs="仿宋_GB2312"/>
          <w:b w:val="0"/>
          <w:bCs w:val="0"/>
          <w:sz w:val="30"/>
          <w:szCs w:val="30"/>
          <w:u w:val="none"/>
          <w:lang w:val="zh-CN"/>
        </w:rPr>
        <w:t>开发</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_Toc22532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97</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_Toc20436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第二节 安全韧性城市</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_Toc20436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97</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_Toc3420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第152条 全面提升滨海城市防灾减灾能力</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_Toc3420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97</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_Toc31302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第153条 优化城市空间安全布局</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_Toc31302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98</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_Toc17846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第154条 高标准建设生命线系统</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_Toc17846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99</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_Toc25807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第155条 构建应急避难及疏散救援空间网络体系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_Toc25807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99</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_Toc7035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第156条 建立综合的消防救援体系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_Toc7035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100</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_Toc13057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第157条 构建多层防线的防潮（洪）排涝体系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_Toc13057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100</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_Toc4991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第158条 全面提升城市人防能力</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_Toc4991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101</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_Toc12230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第159条 提升地质灾害综合防治能力</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_Toc12230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101</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_Toc18655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第160条 提升应急预警和处置能力</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_Toc18655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102</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_Toc32309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第三节 智慧城市</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_Toc32309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103</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keepNext w:val="0"/>
        <w:keepLines w:val="0"/>
        <w:pageBreakBefore w:val="0"/>
        <w:widowControl/>
        <w:tabs>
          <w:tab w:val="right" w:leader="dot" w:pos="9072"/>
          <w:tab w:val="clear" w:pos="2100"/>
          <w:tab w:val="clear" w:pos="8296"/>
        </w:tabs>
        <w:kinsoku/>
        <w:wordWrap/>
        <w:overflowPunct/>
        <w:topLinePunct w:val="0"/>
        <w:autoSpaceDE/>
        <w:autoSpaceDN/>
        <w:bidi w:val="0"/>
        <w:adjustRightInd/>
        <w:snapToGrid w:val="0"/>
        <w:spacing w:line="579" w:lineRule="exact"/>
        <w:textAlignment w:val="auto"/>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_Toc15619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第161条 推动智慧</w:t>
      </w:r>
      <w:r>
        <w:rPr>
          <w:rFonts w:hint="eastAsia" w:ascii="Times New Roman" w:hAnsi="Times New Roman" w:eastAsia="仿宋_GB2312" w:cs="仿宋_GB2312"/>
          <w:b w:val="0"/>
          <w:bCs w:val="0"/>
          <w:sz w:val="30"/>
          <w:szCs w:val="30"/>
          <w:u w:val="none"/>
          <w:lang w:val="en-US"/>
        </w:rPr>
        <w:t>城市</w:t>
      </w:r>
      <w:r>
        <w:rPr>
          <w:rFonts w:hint="eastAsia" w:ascii="Times New Roman" w:hAnsi="Times New Roman" w:eastAsia="仿宋_GB2312" w:cs="仿宋_GB2312"/>
          <w:b w:val="0"/>
          <w:bCs w:val="0"/>
          <w:sz w:val="30"/>
          <w:szCs w:val="30"/>
          <w:u w:val="none"/>
          <w:lang w:val="zh-CN"/>
        </w:rPr>
        <w:t>新型基础设施建设</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_Toc15619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103</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_Toc540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第162条 推进精细化现代化城市治理</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_Toc540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103</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_Toc5236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第163条 提供智慧</w:t>
      </w:r>
      <w:r>
        <w:rPr>
          <w:rFonts w:hint="eastAsia" w:ascii="Times New Roman" w:hAnsi="Times New Roman" w:eastAsia="仿宋_GB2312" w:cs="仿宋_GB2312"/>
          <w:b w:val="0"/>
          <w:bCs w:val="0"/>
          <w:sz w:val="30"/>
          <w:szCs w:val="30"/>
          <w:u w:val="none"/>
          <w:lang w:val="en-US"/>
        </w:rPr>
        <w:t>高效</w:t>
      </w:r>
      <w:r>
        <w:rPr>
          <w:rFonts w:hint="eastAsia" w:ascii="Times New Roman" w:hAnsi="Times New Roman" w:eastAsia="仿宋_GB2312" w:cs="仿宋_GB2312"/>
          <w:b w:val="0"/>
          <w:bCs w:val="0"/>
          <w:sz w:val="30"/>
          <w:szCs w:val="30"/>
          <w:u w:val="none"/>
          <w:lang w:val="zh-CN"/>
        </w:rPr>
        <w:t>便捷民生服务</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_Toc5236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104</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_Toc17902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第164条 打造粤港澳数字</w:t>
      </w:r>
      <w:r>
        <w:rPr>
          <w:rFonts w:hint="eastAsia" w:ascii="Times New Roman" w:hAnsi="Times New Roman" w:eastAsia="仿宋_GB2312" w:cs="仿宋_GB2312"/>
          <w:b w:val="0"/>
          <w:bCs w:val="0"/>
          <w:sz w:val="30"/>
          <w:szCs w:val="30"/>
          <w:u w:val="none"/>
          <w:lang w:val="en-US"/>
        </w:rPr>
        <w:t>合作</w:t>
      </w:r>
      <w:r>
        <w:rPr>
          <w:rFonts w:hint="eastAsia" w:ascii="Times New Roman" w:hAnsi="Times New Roman" w:eastAsia="仿宋_GB2312" w:cs="仿宋_GB2312"/>
          <w:b w:val="0"/>
          <w:bCs w:val="0"/>
          <w:sz w:val="30"/>
          <w:szCs w:val="30"/>
          <w:u w:val="none"/>
          <w:lang w:val="zh-CN"/>
        </w:rPr>
        <w:t>新支点</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_Toc17902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104</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4"/>
        <w:tabs>
          <w:tab w:val="right" w:leader="dot" w:pos="9072"/>
          <w:tab w:val="clear" w:pos="8296"/>
        </w:tabs>
        <w:rPr>
          <w:b w:val="0"/>
          <w:bCs w:val="0"/>
          <w:sz w:val="30"/>
          <w:szCs w:val="30"/>
          <w:u w:val="none"/>
        </w:rPr>
      </w:pPr>
      <w:r>
        <w:rPr>
          <w:b w:val="0"/>
          <w:bCs w:val="0"/>
          <w:sz w:val="30"/>
          <w:szCs w:val="30"/>
          <w:u w:val="none"/>
          <w:lang w:val="zh-CN"/>
        </w:rPr>
        <w:fldChar w:fldCharType="begin"/>
      </w:r>
      <w:r>
        <w:rPr>
          <w:b w:val="0"/>
          <w:bCs w:val="0"/>
          <w:sz w:val="30"/>
          <w:szCs w:val="30"/>
          <w:u w:val="none"/>
          <w:lang w:val="zh-CN"/>
        </w:rPr>
        <w:instrText xml:space="preserve"> HYPERLINK \l _Toc4010 </w:instrText>
      </w:r>
      <w:r>
        <w:rPr>
          <w:b w:val="0"/>
          <w:bCs w:val="0"/>
          <w:sz w:val="30"/>
          <w:szCs w:val="30"/>
          <w:u w:val="none"/>
          <w:lang w:val="zh-CN"/>
        </w:rPr>
        <w:fldChar w:fldCharType="separate"/>
      </w:r>
      <w:r>
        <w:rPr>
          <w:rFonts w:hint="eastAsia" w:ascii="Times New Roman" w:hAnsi="Times New Roman" w:eastAsia="黑体" w:cs="黑体"/>
          <w:b w:val="0"/>
          <w:bCs w:val="0"/>
          <w:sz w:val="30"/>
          <w:szCs w:val="30"/>
          <w:u w:val="none"/>
        </w:rPr>
        <w:t xml:space="preserve">第十二章 </w:t>
      </w:r>
      <w:r>
        <w:rPr>
          <w:b w:val="0"/>
          <w:bCs w:val="0"/>
          <w:sz w:val="30"/>
          <w:szCs w:val="30"/>
          <w:u w:val="none"/>
        </w:rPr>
        <w:t>土地节约集约利用</w:t>
      </w:r>
      <w:r>
        <w:rPr>
          <w:b w:val="0"/>
          <w:bCs w:val="0"/>
          <w:sz w:val="30"/>
          <w:szCs w:val="30"/>
          <w:u w:val="none"/>
        </w:rPr>
        <w:tab/>
      </w:r>
      <w:r>
        <w:rPr>
          <w:b w:val="0"/>
          <w:bCs w:val="0"/>
          <w:sz w:val="30"/>
          <w:szCs w:val="30"/>
          <w:u w:val="none"/>
        </w:rPr>
        <w:fldChar w:fldCharType="begin"/>
      </w:r>
      <w:r>
        <w:rPr>
          <w:b w:val="0"/>
          <w:bCs w:val="0"/>
          <w:sz w:val="30"/>
          <w:szCs w:val="30"/>
          <w:u w:val="none"/>
        </w:rPr>
        <w:instrText xml:space="preserve"> PAGEREF _Toc4010 \h </w:instrText>
      </w:r>
      <w:r>
        <w:rPr>
          <w:b w:val="0"/>
          <w:bCs w:val="0"/>
          <w:sz w:val="30"/>
          <w:szCs w:val="30"/>
          <w:u w:val="none"/>
        </w:rPr>
        <w:fldChar w:fldCharType="separate"/>
      </w:r>
      <w:r>
        <w:rPr>
          <w:b w:val="0"/>
          <w:bCs w:val="0"/>
          <w:sz w:val="30"/>
          <w:szCs w:val="30"/>
          <w:u w:val="none"/>
        </w:rPr>
        <w:t>105</w:t>
      </w:r>
      <w:r>
        <w:rPr>
          <w:b w:val="0"/>
          <w:bCs w:val="0"/>
          <w:sz w:val="30"/>
          <w:szCs w:val="30"/>
          <w:u w:val="none"/>
        </w:rPr>
        <w:fldChar w:fldCharType="end"/>
      </w:r>
      <w:r>
        <w:rPr>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_Toc4332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第一节 耕地资源保护利用</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_Toc4332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105</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_Toc18170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第165条 推动</w:t>
      </w:r>
      <w:r>
        <w:rPr>
          <w:rFonts w:hint="eastAsia" w:ascii="Times New Roman" w:hAnsi="Times New Roman" w:eastAsia="仿宋_GB2312" w:cs="仿宋_GB2312"/>
          <w:b w:val="0"/>
          <w:bCs w:val="0"/>
          <w:sz w:val="30"/>
          <w:szCs w:val="30"/>
          <w:u w:val="none"/>
          <w:lang w:val="en-US"/>
        </w:rPr>
        <w:t>耕地</w:t>
      </w:r>
      <w:r>
        <w:rPr>
          <w:rFonts w:hint="eastAsia" w:ascii="Times New Roman" w:hAnsi="Times New Roman" w:eastAsia="仿宋_GB2312" w:cs="仿宋_GB2312"/>
          <w:b w:val="0"/>
          <w:bCs w:val="0"/>
          <w:sz w:val="30"/>
          <w:szCs w:val="30"/>
          <w:u w:val="none"/>
          <w:lang w:val="zh-CN"/>
        </w:rPr>
        <w:t>集中连片保护</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_Toc18170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105</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_Toc14271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第166条 严格耕地用途管制</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_Toc14271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105</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_Toc11088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第167条 强化耕地种植</w:t>
      </w:r>
      <w:r>
        <w:rPr>
          <w:rFonts w:hint="eastAsia" w:ascii="Times New Roman" w:hAnsi="Times New Roman" w:eastAsia="仿宋_GB2312" w:cs="仿宋_GB2312"/>
          <w:b w:val="0"/>
          <w:bCs w:val="0"/>
          <w:sz w:val="30"/>
          <w:szCs w:val="30"/>
          <w:u w:val="none"/>
          <w:lang w:val="en-US"/>
        </w:rPr>
        <w:t>管控</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_Toc11088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106</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_Toc17133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第168条 提升耕地</w:t>
      </w:r>
      <w:r>
        <w:rPr>
          <w:rFonts w:hint="eastAsia" w:ascii="Times New Roman" w:hAnsi="Times New Roman" w:eastAsia="仿宋_GB2312" w:cs="仿宋_GB2312"/>
          <w:b w:val="0"/>
          <w:bCs w:val="0"/>
          <w:sz w:val="30"/>
          <w:szCs w:val="30"/>
          <w:u w:val="none"/>
          <w:lang w:val="en-US"/>
        </w:rPr>
        <w:t>质量</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_Toc17133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107</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_Toc6489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第169条 打造都市田园</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_Toc6489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107</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_Toc8639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第170条 拓展补充耕地途径</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_Toc8639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107</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_Toc31550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第171条 完善耕地保护补偿</w:t>
      </w:r>
      <w:r>
        <w:rPr>
          <w:rFonts w:hint="eastAsia" w:ascii="Times New Roman" w:hAnsi="Times New Roman" w:eastAsia="仿宋_GB2312" w:cs="仿宋_GB2312"/>
          <w:b w:val="0"/>
          <w:bCs w:val="0"/>
          <w:sz w:val="30"/>
          <w:szCs w:val="30"/>
          <w:u w:val="none"/>
          <w:lang w:val="en-US"/>
        </w:rPr>
        <w:t>机制</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_Toc31550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108</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_Toc5529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第二节 森林资源保护利用</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_Toc5529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108</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_Toc5428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第172条 打造国家</w:t>
      </w:r>
      <w:r>
        <w:rPr>
          <w:rFonts w:hint="eastAsia" w:ascii="Times New Roman" w:hAnsi="Times New Roman" w:eastAsia="仿宋_GB2312" w:cs="仿宋_GB2312"/>
          <w:b w:val="0"/>
          <w:bCs w:val="0"/>
          <w:sz w:val="30"/>
          <w:szCs w:val="30"/>
          <w:u w:val="none"/>
          <w:lang w:val="en-US"/>
        </w:rPr>
        <w:t>森林</w:t>
      </w:r>
      <w:r>
        <w:rPr>
          <w:rFonts w:hint="eastAsia" w:ascii="Times New Roman" w:hAnsi="Times New Roman" w:eastAsia="仿宋_GB2312" w:cs="仿宋_GB2312"/>
          <w:b w:val="0"/>
          <w:bCs w:val="0"/>
          <w:sz w:val="30"/>
          <w:szCs w:val="30"/>
          <w:u w:val="none"/>
          <w:lang w:val="zh-CN"/>
        </w:rPr>
        <w:t>城市样板</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_Toc5428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108</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_Toc8402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第173条 严格保护森林资源</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_Toc8402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108</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_Toc15193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第174条 积极补充森林资源和精准提升森林质量</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_Toc15193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109</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_Toc23950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第175条 推进</w:t>
      </w:r>
      <w:r>
        <w:rPr>
          <w:rFonts w:hint="eastAsia" w:ascii="Times New Roman" w:hAnsi="Times New Roman" w:eastAsia="仿宋_GB2312" w:cs="仿宋_GB2312"/>
          <w:b w:val="0"/>
          <w:bCs w:val="0"/>
          <w:sz w:val="30"/>
          <w:szCs w:val="30"/>
          <w:u w:val="none"/>
          <w:lang w:val="en-US"/>
        </w:rPr>
        <w:t>城乡</w:t>
      </w:r>
      <w:r>
        <w:rPr>
          <w:rFonts w:hint="eastAsia" w:ascii="Times New Roman" w:hAnsi="Times New Roman" w:eastAsia="仿宋_GB2312" w:cs="仿宋_GB2312"/>
          <w:b w:val="0"/>
          <w:bCs w:val="0"/>
          <w:sz w:val="30"/>
          <w:szCs w:val="30"/>
          <w:u w:val="none"/>
          <w:lang w:val="zh-CN"/>
        </w:rPr>
        <w:t>绿化美化</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_Toc23950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110</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_Toc25536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第176条 加强古树名木保护</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_Toc25536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111</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_Toc1066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第三节 河湖水系与湿地保护利用</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_Toc1066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111</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_Toc23962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第177条 构建</w:t>
      </w:r>
      <w:r>
        <w:rPr>
          <w:rFonts w:hint="eastAsia" w:ascii="Times New Roman" w:hAnsi="Times New Roman" w:eastAsia="仿宋_GB2312" w:cs="仿宋_GB2312"/>
          <w:b w:val="0"/>
          <w:bCs w:val="0"/>
          <w:sz w:val="30"/>
          <w:szCs w:val="30"/>
          <w:u w:val="none"/>
          <w:lang w:val="en-US"/>
        </w:rPr>
        <w:t>绿色</w:t>
      </w:r>
      <w:r>
        <w:rPr>
          <w:rFonts w:hint="eastAsia" w:ascii="Times New Roman" w:hAnsi="Times New Roman" w:eastAsia="仿宋_GB2312" w:cs="仿宋_GB2312"/>
          <w:b w:val="0"/>
          <w:bCs w:val="0"/>
          <w:sz w:val="30"/>
          <w:szCs w:val="30"/>
          <w:u w:val="none"/>
          <w:lang w:val="zh-CN"/>
        </w:rPr>
        <w:t>生态水网</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_Toc23962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111</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_Toc26164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第178条 水资源保护与开发利用</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_Toc26164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112</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_Toc32471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第179条 加强湿地保护</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_Toc32471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113</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_Toc2573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第四节 矿产资源保护利用</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_Toc2573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113</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_Toc25534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第180条 合理开发利用矿产资源</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_Toc25534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113</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_Toc13472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第181条 推动矿业绿色发展</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_Toc13472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114</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_Toc30792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第五节 助力碳达峰碳中和</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_Toc30792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114</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_Toc23000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第182条 构建</w:t>
      </w:r>
      <w:r>
        <w:rPr>
          <w:rFonts w:hint="eastAsia" w:ascii="Times New Roman" w:hAnsi="Times New Roman" w:eastAsia="仿宋_GB2312" w:cs="仿宋_GB2312"/>
          <w:b w:val="0"/>
          <w:bCs w:val="0"/>
          <w:sz w:val="30"/>
          <w:szCs w:val="30"/>
          <w:u w:val="none"/>
          <w:lang w:val="en-US"/>
        </w:rPr>
        <w:t>绿色</w:t>
      </w:r>
      <w:r>
        <w:rPr>
          <w:rFonts w:hint="eastAsia" w:ascii="Times New Roman" w:hAnsi="Times New Roman" w:eastAsia="仿宋_GB2312" w:cs="仿宋_GB2312"/>
          <w:b w:val="0"/>
          <w:bCs w:val="0"/>
          <w:sz w:val="30"/>
          <w:szCs w:val="30"/>
          <w:u w:val="none"/>
          <w:lang w:val="zh-CN"/>
        </w:rPr>
        <w:t>低碳的自然资源管理体系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_Toc23000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114</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_Toc319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第183条 提升</w:t>
      </w:r>
      <w:r>
        <w:rPr>
          <w:rFonts w:hint="eastAsia" w:ascii="Times New Roman" w:hAnsi="Times New Roman" w:eastAsia="仿宋_GB2312" w:cs="仿宋_GB2312"/>
          <w:b w:val="0"/>
          <w:bCs w:val="0"/>
          <w:sz w:val="30"/>
          <w:szCs w:val="30"/>
          <w:u w:val="none"/>
          <w:lang w:val="en-US"/>
        </w:rPr>
        <w:t>生态</w:t>
      </w:r>
      <w:r>
        <w:rPr>
          <w:rFonts w:hint="eastAsia" w:ascii="Times New Roman" w:hAnsi="Times New Roman" w:eastAsia="仿宋_GB2312" w:cs="仿宋_GB2312"/>
          <w:b w:val="0"/>
          <w:bCs w:val="0"/>
          <w:sz w:val="30"/>
          <w:szCs w:val="30"/>
          <w:u w:val="none"/>
          <w:lang w:val="zh-CN"/>
        </w:rPr>
        <w:t>碳汇能力</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_Toc319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115</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_Toc29112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第六节 国土空间生态修复与土地综合整治</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_Toc29112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116</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_Toc19314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第184条 实施</w:t>
      </w:r>
      <w:r>
        <w:rPr>
          <w:rFonts w:hint="eastAsia" w:ascii="Times New Roman" w:hAnsi="Times New Roman" w:eastAsia="仿宋_GB2312" w:cs="仿宋_GB2312"/>
          <w:b w:val="0"/>
          <w:bCs w:val="0"/>
          <w:sz w:val="30"/>
          <w:szCs w:val="30"/>
          <w:u w:val="none"/>
          <w:lang w:val="en-US"/>
        </w:rPr>
        <w:t>系统性</w:t>
      </w:r>
      <w:r>
        <w:rPr>
          <w:rFonts w:hint="eastAsia" w:ascii="Times New Roman" w:hAnsi="Times New Roman" w:eastAsia="仿宋_GB2312" w:cs="仿宋_GB2312"/>
          <w:b w:val="0"/>
          <w:bCs w:val="0"/>
          <w:sz w:val="30"/>
          <w:szCs w:val="30"/>
          <w:u w:val="none"/>
          <w:lang w:val="zh-CN"/>
        </w:rPr>
        <w:t>生态修复</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_Toc19314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116</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_Toc24388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第185条 构建生物多样性保护网络</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_Toc24388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116</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_Toc6530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第186条 开展海洋生态系统修复</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_Toc6530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117</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_Toc16280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第187条 开展森林生态系统修复</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_Toc16280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118</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_Toc27921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第188条 开展河</w:t>
      </w:r>
      <w:r>
        <w:rPr>
          <w:rFonts w:hint="eastAsia" w:ascii="Times New Roman" w:hAnsi="Times New Roman" w:eastAsia="仿宋_GB2312" w:cs="仿宋_GB2312"/>
          <w:b w:val="0"/>
          <w:bCs w:val="0"/>
          <w:sz w:val="30"/>
          <w:szCs w:val="30"/>
          <w:u w:val="none"/>
          <w:lang w:val="en-US"/>
        </w:rPr>
        <w:t>湖水</w:t>
      </w:r>
      <w:r>
        <w:rPr>
          <w:rFonts w:hint="eastAsia" w:ascii="Times New Roman" w:hAnsi="Times New Roman" w:eastAsia="仿宋_GB2312" w:cs="仿宋_GB2312"/>
          <w:b w:val="0"/>
          <w:bCs w:val="0"/>
          <w:sz w:val="30"/>
          <w:szCs w:val="30"/>
          <w:u w:val="none"/>
          <w:lang w:val="zh-CN"/>
        </w:rPr>
        <w:t>系生态修复</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_Toc27921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118</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_Toc27368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第189条 开展历史遗留矿山生态修复</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_Toc27368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119</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_Toc28242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第190条 推进全域土地综合整治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_Toc28242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119</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4"/>
        <w:tabs>
          <w:tab w:val="right" w:leader="dot" w:pos="9072"/>
          <w:tab w:val="clear" w:pos="8296"/>
        </w:tabs>
        <w:rPr>
          <w:b w:val="0"/>
          <w:bCs w:val="0"/>
          <w:sz w:val="30"/>
          <w:szCs w:val="30"/>
          <w:u w:val="none"/>
        </w:rPr>
      </w:pPr>
      <w:r>
        <w:rPr>
          <w:b w:val="0"/>
          <w:bCs w:val="0"/>
          <w:sz w:val="30"/>
          <w:szCs w:val="30"/>
          <w:u w:val="none"/>
          <w:lang w:val="zh-CN"/>
        </w:rPr>
        <w:fldChar w:fldCharType="begin"/>
      </w:r>
      <w:r>
        <w:rPr>
          <w:b w:val="0"/>
          <w:bCs w:val="0"/>
          <w:sz w:val="30"/>
          <w:szCs w:val="30"/>
          <w:u w:val="none"/>
          <w:lang w:val="zh-CN"/>
        </w:rPr>
        <w:instrText xml:space="preserve"> HYPERLINK \l _Toc3415 </w:instrText>
      </w:r>
      <w:r>
        <w:rPr>
          <w:b w:val="0"/>
          <w:bCs w:val="0"/>
          <w:sz w:val="30"/>
          <w:szCs w:val="30"/>
          <w:u w:val="none"/>
          <w:lang w:val="zh-CN"/>
        </w:rPr>
        <w:fldChar w:fldCharType="separate"/>
      </w:r>
      <w:r>
        <w:rPr>
          <w:rFonts w:hint="eastAsia" w:ascii="Times New Roman" w:hAnsi="Times New Roman" w:eastAsia="黑体" w:cs="黑体"/>
          <w:b w:val="0"/>
          <w:bCs w:val="0"/>
          <w:sz w:val="30"/>
          <w:szCs w:val="30"/>
          <w:u w:val="none"/>
        </w:rPr>
        <w:t xml:space="preserve">第十三章 </w:t>
      </w:r>
      <w:r>
        <w:rPr>
          <w:b w:val="0"/>
          <w:bCs w:val="0"/>
          <w:sz w:val="30"/>
          <w:szCs w:val="30"/>
          <w:u w:val="none"/>
        </w:rPr>
        <w:t>陆海统筹</w:t>
      </w:r>
      <w:r>
        <w:rPr>
          <w:b w:val="0"/>
          <w:bCs w:val="0"/>
          <w:sz w:val="30"/>
          <w:szCs w:val="30"/>
          <w:u w:val="none"/>
        </w:rPr>
        <w:tab/>
      </w:r>
      <w:r>
        <w:rPr>
          <w:b w:val="0"/>
          <w:bCs w:val="0"/>
          <w:sz w:val="30"/>
          <w:szCs w:val="30"/>
          <w:u w:val="none"/>
        </w:rPr>
        <w:fldChar w:fldCharType="begin"/>
      </w:r>
      <w:r>
        <w:rPr>
          <w:b w:val="0"/>
          <w:bCs w:val="0"/>
          <w:sz w:val="30"/>
          <w:szCs w:val="30"/>
          <w:u w:val="none"/>
        </w:rPr>
        <w:instrText xml:space="preserve"> PAGEREF _Toc3415 \h </w:instrText>
      </w:r>
      <w:r>
        <w:rPr>
          <w:b w:val="0"/>
          <w:bCs w:val="0"/>
          <w:sz w:val="30"/>
          <w:szCs w:val="30"/>
          <w:u w:val="none"/>
        </w:rPr>
        <w:fldChar w:fldCharType="separate"/>
      </w:r>
      <w:r>
        <w:rPr>
          <w:b w:val="0"/>
          <w:bCs w:val="0"/>
          <w:sz w:val="30"/>
          <w:szCs w:val="30"/>
          <w:u w:val="none"/>
        </w:rPr>
        <w:t>122</w:t>
      </w:r>
      <w:r>
        <w:rPr>
          <w:b w:val="0"/>
          <w:bCs w:val="0"/>
          <w:sz w:val="30"/>
          <w:szCs w:val="30"/>
          <w:u w:val="none"/>
        </w:rPr>
        <w:fldChar w:fldCharType="end"/>
      </w:r>
      <w:r>
        <w:rPr>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_Toc15359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第一节 海洋资源保护利用</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_Toc15359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122</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_Toc4749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第191条 科学高效</w:t>
      </w:r>
      <w:r>
        <w:rPr>
          <w:rFonts w:hint="eastAsia" w:ascii="Times New Roman" w:hAnsi="Times New Roman" w:eastAsia="仿宋_GB2312" w:cs="仿宋_GB2312"/>
          <w:b w:val="0"/>
          <w:bCs w:val="0"/>
          <w:sz w:val="30"/>
          <w:szCs w:val="30"/>
          <w:u w:val="none"/>
          <w:lang w:val="en-US"/>
        </w:rPr>
        <w:t>利用</w:t>
      </w:r>
      <w:r>
        <w:rPr>
          <w:rFonts w:hint="eastAsia" w:ascii="Times New Roman" w:hAnsi="Times New Roman" w:eastAsia="仿宋_GB2312" w:cs="仿宋_GB2312"/>
          <w:b w:val="0"/>
          <w:bCs w:val="0"/>
          <w:sz w:val="30"/>
          <w:szCs w:val="30"/>
          <w:u w:val="none"/>
          <w:lang w:val="zh-CN"/>
        </w:rPr>
        <w:t>海域空间</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_Toc4749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122</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_Toc17216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第192条 合理保护其它</w:t>
      </w:r>
      <w:r>
        <w:rPr>
          <w:rFonts w:hint="eastAsia" w:ascii="Times New Roman" w:hAnsi="Times New Roman" w:eastAsia="仿宋_GB2312" w:cs="仿宋_GB2312"/>
          <w:b w:val="0"/>
          <w:bCs w:val="0"/>
          <w:sz w:val="30"/>
          <w:szCs w:val="30"/>
          <w:u w:val="none"/>
          <w:lang w:val="en-US"/>
        </w:rPr>
        <w:t>海洋</w:t>
      </w:r>
      <w:r>
        <w:rPr>
          <w:rFonts w:hint="eastAsia" w:ascii="Times New Roman" w:hAnsi="Times New Roman" w:eastAsia="仿宋_GB2312" w:cs="仿宋_GB2312"/>
          <w:b w:val="0"/>
          <w:bCs w:val="0"/>
          <w:sz w:val="30"/>
          <w:szCs w:val="30"/>
          <w:u w:val="none"/>
          <w:lang w:val="zh-CN"/>
        </w:rPr>
        <w:t>资源</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_Toc17216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122</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_Toc16447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第二节 海洋空间格局</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_Toc16447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123</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_Toc22380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第193条 构建“一带双核三组团”的海洋发展空间格局</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_Toc22380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123</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_Toc29981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第194条 加强海域使用规划管控</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_Toc29981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125</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_Toc2382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第195条 统筹协调海岸带陆海功能</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_Toc2382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126</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_Toc30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第196条 分类实施海岸线保护利用</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_Toc30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127</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_Toc20475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第197条 分类保护利用无居民海岛</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_Toc20475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128</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_Toc6186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第198条 加强海洋生态保护管控</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_Toc6186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129</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_Toc23093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第199条 壮大发展海洋产业</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_Toc23093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130</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4"/>
        <w:tabs>
          <w:tab w:val="right" w:leader="dot" w:pos="9072"/>
          <w:tab w:val="clear" w:pos="8296"/>
        </w:tabs>
        <w:rPr>
          <w:b w:val="0"/>
          <w:bCs w:val="0"/>
          <w:sz w:val="30"/>
          <w:szCs w:val="30"/>
          <w:u w:val="none"/>
        </w:rPr>
      </w:pPr>
      <w:r>
        <w:rPr>
          <w:b w:val="0"/>
          <w:bCs w:val="0"/>
          <w:sz w:val="30"/>
          <w:szCs w:val="30"/>
          <w:u w:val="none"/>
          <w:lang w:val="zh-CN"/>
        </w:rPr>
        <w:fldChar w:fldCharType="begin"/>
      </w:r>
      <w:r>
        <w:rPr>
          <w:b w:val="0"/>
          <w:bCs w:val="0"/>
          <w:sz w:val="30"/>
          <w:szCs w:val="30"/>
          <w:u w:val="none"/>
          <w:lang w:val="zh-CN"/>
        </w:rPr>
        <w:instrText xml:space="preserve"> HYPERLINK \l _Toc15994 </w:instrText>
      </w:r>
      <w:r>
        <w:rPr>
          <w:b w:val="0"/>
          <w:bCs w:val="0"/>
          <w:sz w:val="30"/>
          <w:szCs w:val="30"/>
          <w:u w:val="none"/>
          <w:lang w:val="zh-CN"/>
        </w:rPr>
        <w:fldChar w:fldCharType="separate"/>
      </w:r>
      <w:r>
        <w:rPr>
          <w:rFonts w:hint="eastAsia" w:ascii="Times New Roman" w:hAnsi="Times New Roman" w:eastAsia="黑体" w:cs="黑体"/>
          <w:b w:val="0"/>
          <w:bCs w:val="0"/>
          <w:sz w:val="30"/>
          <w:szCs w:val="30"/>
          <w:u w:val="none"/>
        </w:rPr>
        <w:t xml:space="preserve">第十四章 </w:t>
      </w:r>
      <w:r>
        <w:rPr>
          <w:b w:val="0"/>
          <w:bCs w:val="0"/>
          <w:sz w:val="30"/>
          <w:szCs w:val="30"/>
          <w:u w:val="none"/>
        </w:rPr>
        <w:t>区域协同</w:t>
      </w:r>
      <w:r>
        <w:rPr>
          <w:b w:val="0"/>
          <w:bCs w:val="0"/>
          <w:sz w:val="30"/>
          <w:szCs w:val="30"/>
          <w:u w:val="none"/>
        </w:rPr>
        <w:tab/>
      </w:r>
      <w:r>
        <w:rPr>
          <w:b w:val="0"/>
          <w:bCs w:val="0"/>
          <w:sz w:val="30"/>
          <w:szCs w:val="30"/>
          <w:u w:val="none"/>
        </w:rPr>
        <w:fldChar w:fldCharType="begin"/>
      </w:r>
      <w:r>
        <w:rPr>
          <w:b w:val="0"/>
          <w:bCs w:val="0"/>
          <w:sz w:val="30"/>
          <w:szCs w:val="30"/>
          <w:u w:val="none"/>
        </w:rPr>
        <w:instrText xml:space="preserve"> PAGEREF _Toc15994 \h </w:instrText>
      </w:r>
      <w:r>
        <w:rPr>
          <w:b w:val="0"/>
          <w:bCs w:val="0"/>
          <w:sz w:val="30"/>
          <w:szCs w:val="30"/>
          <w:u w:val="none"/>
        </w:rPr>
        <w:fldChar w:fldCharType="separate"/>
      </w:r>
      <w:r>
        <w:rPr>
          <w:b w:val="0"/>
          <w:bCs w:val="0"/>
          <w:sz w:val="30"/>
          <w:szCs w:val="30"/>
          <w:u w:val="none"/>
        </w:rPr>
        <w:t>131</w:t>
      </w:r>
      <w:r>
        <w:rPr>
          <w:b w:val="0"/>
          <w:bCs w:val="0"/>
          <w:sz w:val="30"/>
          <w:szCs w:val="30"/>
          <w:u w:val="none"/>
        </w:rPr>
        <w:fldChar w:fldCharType="end"/>
      </w:r>
      <w:r>
        <w:rPr>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_Toc25578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第200条 促进澳珠深度合作</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_Toc25578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131</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_Toc18574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第201条 共建粤港澳大湾区世界级城市群</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_Toc18574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132</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_Toc30905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第202条 引领珠江口西岸一体化发展</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_Toc30905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134</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4"/>
        <w:tabs>
          <w:tab w:val="right" w:leader="dot" w:pos="9072"/>
          <w:tab w:val="clear" w:pos="8296"/>
        </w:tabs>
        <w:rPr>
          <w:b w:val="0"/>
          <w:bCs w:val="0"/>
          <w:sz w:val="30"/>
          <w:szCs w:val="30"/>
          <w:u w:val="none"/>
        </w:rPr>
      </w:pPr>
      <w:r>
        <w:rPr>
          <w:b w:val="0"/>
          <w:bCs w:val="0"/>
          <w:sz w:val="30"/>
          <w:szCs w:val="30"/>
          <w:u w:val="none"/>
          <w:lang w:val="zh-CN"/>
        </w:rPr>
        <w:fldChar w:fldCharType="begin"/>
      </w:r>
      <w:r>
        <w:rPr>
          <w:b w:val="0"/>
          <w:bCs w:val="0"/>
          <w:sz w:val="30"/>
          <w:szCs w:val="30"/>
          <w:u w:val="none"/>
          <w:lang w:val="zh-CN"/>
        </w:rPr>
        <w:instrText xml:space="preserve"> HYPERLINK \l _Toc30496 </w:instrText>
      </w:r>
      <w:r>
        <w:rPr>
          <w:b w:val="0"/>
          <w:bCs w:val="0"/>
          <w:sz w:val="30"/>
          <w:szCs w:val="30"/>
          <w:u w:val="none"/>
          <w:lang w:val="zh-CN"/>
        </w:rPr>
        <w:fldChar w:fldCharType="separate"/>
      </w:r>
      <w:r>
        <w:rPr>
          <w:rFonts w:hint="eastAsia" w:ascii="Times New Roman" w:hAnsi="Times New Roman" w:eastAsia="黑体" w:cs="黑体"/>
          <w:b w:val="0"/>
          <w:bCs w:val="0"/>
          <w:sz w:val="30"/>
          <w:szCs w:val="30"/>
          <w:u w:val="none"/>
        </w:rPr>
        <w:t xml:space="preserve">第十五章 </w:t>
      </w:r>
      <w:r>
        <w:rPr>
          <w:rFonts w:hint="eastAsia"/>
          <w:b w:val="0"/>
          <w:bCs w:val="0"/>
          <w:sz w:val="30"/>
          <w:szCs w:val="30"/>
          <w:u w:val="none"/>
        </w:rPr>
        <w:t>规划实施保障</w:t>
      </w:r>
      <w:r>
        <w:rPr>
          <w:b w:val="0"/>
          <w:bCs w:val="0"/>
          <w:sz w:val="30"/>
          <w:szCs w:val="30"/>
          <w:u w:val="none"/>
        </w:rPr>
        <w:tab/>
      </w:r>
      <w:r>
        <w:rPr>
          <w:b w:val="0"/>
          <w:bCs w:val="0"/>
          <w:sz w:val="30"/>
          <w:szCs w:val="30"/>
          <w:u w:val="none"/>
        </w:rPr>
        <w:fldChar w:fldCharType="begin"/>
      </w:r>
      <w:r>
        <w:rPr>
          <w:b w:val="0"/>
          <w:bCs w:val="0"/>
          <w:sz w:val="30"/>
          <w:szCs w:val="30"/>
          <w:u w:val="none"/>
        </w:rPr>
        <w:instrText xml:space="preserve"> PAGEREF _Toc30496 \h </w:instrText>
      </w:r>
      <w:r>
        <w:rPr>
          <w:b w:val="0"/>
          <w:bCs w:val="0"/>
          <w:sz w:val="30"/>
          <w:szCs w:val="30"/>
          <w:u w:val="none"/>
        </w:rPr>
        <w:fldChar w:fldCharType="separate"/>
      </w:r>
      <w:r>
        <w:rPr>
          <w:b w:val="0"/>
          <w:bCs w:val="0"/>
          <w:sz w:val="30"/>
          <w:szCs w:val="30"/>
          <w:u w:val="none"/>
        </w:rPr>
        <w:t>136</w:t>
      </w:r>
      <w:r>
        <w:rPr>
          <w:b w:val="0"/>
          <w:bCs w:val="0"/>
          <w:sz w:val="30"/>
          <w:szCs w:val="30"/>
          <w:u w:val="none"/>
        </w:rPr>
        <w:fldChar w:fldCharType="end"/>
      </w:r>
      <w:r>
        <w:rPr>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_Toc5032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第一节 统筹规划编制</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_Toc5032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136</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_Toc27018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第203条 建立四级三类规划编制体系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_Toc27018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136</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_Toc19816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第204条 推进规划编制“两同步”</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_Toc19816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136</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_Toc31089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第205条 实现国土空间规划“两协同”</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_Toc31089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137</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_Toc5596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第二节 统筹规划实施</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_Toc5596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137</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_Toc10423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第206条 健全用途管制制度</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_Toc10423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137</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_Toc6850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第207条 完善法规政策和技术标准体系</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_Toc6850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138</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_Toc23549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第208条 建立“5+3+1”的项目生成协同机制</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_Toc23549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138</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_Toc19625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第三节 统筹规划监督</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_Toc19625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138</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_Toc11839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第209条 健全规划编制与实施全过程监督</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_Toc11839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139</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b w:val="0"/>
          <w:bCs w:val="0"/>
          <w:sz w:val="30"/>
          <w:szCs w:val="30"/>
          <w:u w:val="none"/>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_Toc15517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第210条 建立绩效考核与责任追究机制</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_Toc15517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139</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_Toc20051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第四节 片区规划指引</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_Toc20051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139</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_Toc8240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第211条 加强片区指引</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_Toc8240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139</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28"/>
        <w:tabs>
          <w:tab w:val="right" w:leader="dot" w:pos="9072"/>
        </w:tabs>
        <w:rPr>
          <w:rFonts w:hint="eastAsia" w:ascii="Times New Roman" w:hAnsi="Times New Roman" w:eastAsia="楷体_GB2312" w:cs="楷体_GB2312"/>
          <w:b w:val="0"/>
          <w:bCs w:val="0"/>
          <w:sz w:val="30"/>
          <w:szCs w:val="30"/>
          <w:u w:val="none"/>
          <w:lang w:val="zh-CN"/>
        </w:rPr>
      </w:pP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HYPERLINK \l _Toc7500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第五节 近期行动计划</w:t>
      </w:r>
      <w:r>
        <w:rPr>
          <w:rFonts w:hint="eastAsia" w:ascii="Times New Roman" w:hAnsi="Times New Roman" w:eastAsia="楷体_GB2312" w:cs="楷体_GB2312"/>
          <w:b w:val="0"/>
          <w:bCs w:val="0"/>
          <w:sz w:val="30"/>
          <w:szCs w:val="30"/>
          <w:u w:val="none"/>
          <w:lang w:val="zh-CN"/>
        </w:rPr>
        <w:tab/>
      </w:r>
      <w:r>
        <w:rPr>
          <w:rFonts w:hint="eastAsia" w:ascii="Times New Roman" w:hAnsi="Times New Roman" w:eastAsia="楷体_GB2312" w:cs="楷体_GB2312"/>
          <w:b w:val="0"/>
          <w:bCs w:val="0"/>
          <w:sz w:val="30"/>
          <w:szCs w:val="30"/>
          <w:u w:val="none"/>
          <w:lang w:val="zh-CN"/>
        </w:rPr>
        <w:fldChar w:fldCharType="begin"/>
      </w:r>
      <w:r>
        <w:rPr>
          <w:rFonts w:hint="eastAsia" w:ascii="Times New Roman" w:hAnsi="Times New Roman" w:eastAsia="楷体_GB2312" w:cs="楷体_GB2312"/>
          <w:b w:val="0"/>
          <w:bCs w:val="0"/>
          <w:sz w:val="30"/>
          <w:szCs w:val="30"/>
          <w:u w:val="none"/>
          <w:lang w:val="zh-CN"/>
        </w:rPr>
        <w:instrText xml:space="preserve"> PAGEREF _Toc7500 \h </w:instrText>
      </w:r>
      <w:r>
        <w:rPr>
          <w:rFonts w:hint="eastAsia" w:ascii="Times New Roman" w:hAnsi="Times New Roman" w:eastAsia="楷体_GB2312" w:cs="楷体_GB2312"/>
          <w:b w:val="0"/>
          <w:bCs w:val="0"/>
          <w:sz w:val="30"/>
          <w:szCs w:val="30"/>
          <w:u w:val="none"/>
          <w:lang w:val="zh-CN"/>
        </w:rPr>
        <w:fldChar w:fldCharType="separate"/>
      </w:r>
      <w:r>
        <w:rPr>
          <w:rFonts w:hint="eastAsia" w:ascii="Times New Roman" w:hAnsi="Times New Roman" w:eastAsia="楷体_GB2312" w:cs="楷体_GB2312"/>
          <w:b w:val="0"/>
          <w:bCs w:val="0"/>
          <w:sz w:val="30"/>
          <w:szCs w:val="30"/>
          <w:u w:val="none"/>
          <w:lang w:val="zh-CN"/>
        </w:rPr>
        <w:t>140</w:t>
      </w:r>
      <w:r>
        <w:rPr>
          <w:rFonts w:hint="eastAsia" w:ascii="Times New Roman" w:hAnsi="Times New Roman" w:eastAsia="楷体_GB2312" w:cs="楷体_GB2312"/>
          <w:b w:val="0"/>
          <w:bCs w:val="0"/>
          <w:sz w:val="30"/>
          <w:szCs w:val="30"/>
          <w:u w:val="none"/>
          <w:lang w:val="zh-CN"/>
        </w:rPr>
        <w:fldChar w:fldCharType="end"/>
      </w:r>
      <w:r>
        <w:rPr>
          <w:rFonts w:hint="eastAsia" w:ascii="Times New Roman" w:hAnsi="Times New Roman" w:eastAsia="楷体_GB2312" w:cs="楷体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_Toc30408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第212条 交通引领行动</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_Toc30408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140</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_Toc15638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第213条 成片开发行动</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_Toc15638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140</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_Toc25175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第214条 项目催化行动</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_Toc25175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141</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_Toc30913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第215条 设施匹配行动</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_Toc30913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141</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rPr>
          <w:rFonts w:hint="eastAsia" w:ascii="Times New Roman" w:hAnsi="Times New Roman" w:eastAsia="仿宋_GB2312" w:cs="仿宋_GB2312"/>
          <w:b w:val="0"/>
          <w:bCs w:val="0"/>
          <w:sz w:val="30"/>
          <w:szCs w:val="30"/>
          <w:u w:val="none"/>
          <w:lang w:val="zh-CN"/>
        </w:rPr>
      </w:pP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HYPERLINK \l _Toc5871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en-US"/>
        </w:rPr>
        <w:t>第216条 土地控制行动</w:t>
      </w:r>
      <w:r>
        <w:rPr>
          <w:rFonts w:hint="eastAsia" w:ascii="Times New Roman" w:hAnsi="Times New Roman" w:eastAsia="仿宋_GB2312" w:cs="仿宋_GB2312"/>
          <w:b w:val="0"/>
          <w:bCs w:val="0"/>
          <w:sz w:val="30"/>
          <w:szCs w:val="30"/>
          <w:u w:val="none"/>
          <w:lang w:val="zh-CN"/>
        </w:rPr>
        <w:tab/>
      </w:r>
      <w:r>
        <w:rPr>
          <w:rFonts w:hint="eastAsia" w:ascii="Times New Roman" w:hAnsi="Times New Roman" w:eastAsia="仿宋_GB2312" w:cs="仿宋_GB2312"/>
          <w:b w:val="0"/>
          <w:bCs w:val="0"/>
          <w:sz w:val="30"/>
          <w:szCs w:val="30"/>
          <w:u w:val="none"/>
          <w:lang w:val="zh-CN"/>
        </w:rPr>
        <w:fldChar w:fldCharType="begin"/>
      </w:r>
      <w:r>
        <w:rPr>
          <w:rFonts w:hint="eastAsia" w:ascii="Times New Roman" w:hAnsi="Times New Roman" w:eastAsia="仿宋_GB2312" w:cs="仿宋_GB2312"/>
          <w:b w:val="0"/>
          <w:bCs w:val="0"/>
          <w:sz w:val="30"/>
          <w:szCs w:val="30"/>
          <w:u w:val="none"/>
          <w:lang w:val="zh-CN"/>
        </w:rPr>
        <w:instrText xml:space="preserve"> PAGEREF _Toc5871 \h </w:instrText>
      </w:r>
      <w:r>
        <w:rPr>
          <w:rFonts w:hint="eastAsia" w:ascii="Times New Roman" w:hAnsi="Times New Roman" w:eastAsia="仿宋_GB2312" w:cs="仿宋_GB2312"/>
          <w:b w:val="0"/>
          <w:bCs w:val="0"/>
          <w:sz w:val="30"/>
          <w:szCs w:val="30"/>
          <w:u w:val="none"/>
          <w:lang w:val="zh-CN"/>
        </w:rPr>
        <w:fldChar w:fldCharType="separate"/>
      </w:r>
      <w:r>
        <w:rPr>
          <w:rFonts w:hint="eastAsia" w:ascii="Times New Roman" w:hAnsi="Times New Roman" w:eastAsia="仿宋_GB2312" w:cs="仿宋_GB2312"/>
          <w:b w:val="0"/>
          <w:bCs w:val="0"/>
          <w:sz w:val="30"/>
          <w:szCs w:val="30"/>
          <w:u w:val="none"/>
          <w:lang w:val="zh-CN"/>
        </w:rPr>
        <w:t>143</w:t>
      </w:r>
      <w:r>
        <w:rPr>
          <w:rFonts w:hint="eastAsia" w:ascii="Times New Roman" w:hAnsi="Times New Roman" w:eastAsia="仿宋_GB2312" w:cs="仿宋_GB2312"/>
          <w:b w:val="0"/>
          <w:bCs w:val="0"/>
          <w:sz w:val="30"/>
          <w:szCs w:val="30"/>
          <w:u w:val="none"/>
          <w:lang w:val="zh-CN"/>
        </w:rPr>
        <w:fldChar w:fldCharType="end"/>
      </w:r>
      <w:r>
        <w:rPr>
          <w:rFonts w:hint="eastAsia" w:ascii="Times New Roman" w:hAnsi="Times New Roman" w:eastAsia="仿宋_GB2312" w:cs="仿宋_GB2312"/>
          <w:b w:val="0"/>
          <w:bCs w:val="0"/>
          <w:sz w:val="30"/>
          <w:szCs w:val="30"/>
          <w:u w:val="none"/>
          <w:lang w:val="zh-CN"/>
        </w:rPr>
        <w:fldChar w:fldCharType="end"/>
      </w:r>
    </w:p>
    <w:p>
      <w:pPr>
        <w:pStyle w:val="18"/>
        <w:tabs>
          <w:tab w:val="right" w:leader="dot" w:pos="9072"/>
          <w:tab w:val="clear" w:pos="2100"/>
          <w:tab w:val="clear" w:pos="8296"/>
        </w:tabs>
        <w:ind w:left="1200"/>
        <w:rPr>
          <w:b w:val="0"/>
          <w:bCs w:val="0"/>
          <w:u w:val="none"/>
        </w:rPr>
        <w:sectPr>
          <w:footerReference r:id="rId11" w:type="default"/>
          <w:pgSz w:w="11906" w:h="16838"/>
          <w:pgMar w:top="2041" w:right="1531" w:bottom="2041" w:left="1531" w:header="851" w:footer="1531" w:gutter="0"/>
          <w:paperSrc/>
          <w:pgNumType w:fmt="decimal" w:start="1"/>
          <w:cols w:space="720" w:num="1"/>
          <w:rtlGutter w:val="0"/>
          <w:docGrid w:type="linesAndChars" w:linePitch="607" w:charSpace="0"/>
        </w:sectPr>
      </w:pPr>
      <w:r>
        <w:rPr>
          <w:b w:val="0"/>
          <w:bCs w:val="0"/>
          <w:sz w:val="30"/>
          <w:szCs w:val="30"/>
          <w:u w:val="none"/>
          <w:lang w:val="zh-CN"/>
        </w:rPr>
        <w:fldChar w:fldCharType="end"/>
      </w:r>
    </w:p>
    <w:p>
      <w:pPr>
        <w:pStyle w:val="98"/>
        <w:spacing w:before="584" w:after="584"/>
        <w:rPr>
          <w:rFonts w:hint="eastAsia"/>
          <w:b w:val="0"/>
          <w:bCs w:val="0"/>
          <w:sz w:val="44"/>
          <w:szCs w:val="44"/>
          <w:u w:val="none"/>
        </w:rPr>
      </w:pPr>
      <w:bookmarkStart w:id="1" w:name="_Toc139067505"/>
      <w:bookmarkStart w:id="2" w:name="_Toc138984037"/>
      <w:bookmarkStart w:id="3" w:name="_Toc138960200"/>
      <w:bookmarkStart w:id="4" w:name="_Toc139069845"/>
      <w:bookmarkStart w:id="5" w:name="_Toc139014736"/>
      <w:bookmarkStart w:id="6" w:name="_Toc22630"/>
      <w:bookmarkStart w:id="7" w:name="_Toc21121"/>
      <w:bookmarkStart w:id="8" w:name="_Toc139067770"/>
      <w:bookmarkStart w:id="9" w:name="_Toc139038527"/>
      <w:bookmarkStart w:id="10" w:name="_Toc138984826"/>
      <w:bookmarkStart w:id="11" w:name="_Toc138975971"/>
      <w:bookmarkStart w:id="12" w:name="_Toc5474"/>
      <w:r>
        <w:rPr>
          <w:rFonts w:hint="eastAsia"/>
          <w:b w:val="0"/>
          <w:bCs w:val="0"/>
          <w:sz w:val="44"/>
          <w:szCs w:val="44"/>
          <w:u w:val="none"/>
        </w:rPr>
        <w:t>前  言</w:t>
      </w:r>
      <w:bookmarkEnd w:id="1"/>
      <w:bookmarkEnd w:id="2"/>
      <w:bookmarkEnd w:id="3"/>
      <w:bookmarkEnd w:id="4"/>
      <w:bookmarkEnd w:id="5"/>
      <w:bookmarkEnd w:id="6"/>
      <w:bookmarkEnd w:id="7"/>
      <w:bookmarkEnd w:id="8"/>
      <w:bookmarkEnd w:id="9"/>
      <w:bookmarkEnd w:id="10"/>
      <w:bookmarkEnd w:id="11"/>
      <w:bookmarkEnd w:id="12"/>
    </w:p>
    <w:p>
      <w:pPr>
        <w:ind w:firstLine="600"/>
        <w:rPr>
          <w:rFonts w:hint="eastAsia"/>
          <w:b w:val="0"/>
          <w:bCs w:val="0"/>
          <w:sz w:val="32"/>
          <w:szCs w:val="32"/>
          <w:u w:val="none"/>
        </w:rPr>
      </w:pPr>
      <w:r>
        <w:rPr>
          <w:rFonts w:hint="eastAsia"/>
          <w:b w:val="0"/>
          <w:bCs w:val="0"/>
          <w:sz w:val="32"/>
          <w:szCs w:val="32"/>
          <w:u w:val="none"/>
        </w:rPr>
        <w:t xml:space="preserve">珠海是我国五个经济特区之一。建市四十余年来，珠海始终坚持“生态优先”的发展理念，先后获得联合国人居署“国际改善居住环境最佳范例奖”、中国旅游胜地四十佳、国家卫生城市、国家生态园林城市、国家环保模范城市、国家森林城市、国家级生态建设示范区等一系列荣誉称号。 </w:t>
      </w:r>
    </w:p>
    <w:p>
      <w:pPr>
        <w:ind w:firstLine="600"/>
        <w:rPr>
          <w:rFonts w:ascii="仿宋_GB2312"/>
          <w:b w:val="0"/>
          <w:bCs w:val="0"/>
          <w:sz w:val="32"/>
          <w:szCs w:val="32"/>
          <w:u w:val="none"/>
        </w:rPr>
      </w:pPr>
      <w:r>
        <w:rPr>
          <w:rFonts w:hint="eastAsia" w:ascii="仿宋_GB2312"/>
          <w:b w:val="0"/>
          <w:bCs w:val="0"/>
          <w:sz w:val="32"/>
          <w:szCs w:val="32"/>
          <w:u w:val="none"/>
        </w:rPr>
        <w:t>本规划坚持以习近平新时代中国特色社会主义思想为指导，全面贯彻党的二十大精神，深入贯彻习近平总书记对广东系列重要讲话和重要指示精神，坚持走中国式现代化道路，立足新发展阶段，完整、准确、全面贯彻新发展理念，服务和融入新发展格局，深入实施国家重大战略，全面落实省委、省政府与市委、市政府决策部署，围绕高质量发展首要任务和构建新发展格局战略任务，强化珠江口西岸核心城市职能，统筹安排全域全要素空间资源布局，支撑珠海市打造粤港澳大湾区高质量发展新引擎，建设成为民生幸福样板城市、知名生态文明城市和社会主义现代化国际化经济特区。</w:t>
      </w:r>
    </w:p>
    <w:p>
      <w:pPr>
        <w:pStyle w:val="7"/>
        <w:spacing w:line="216" w:lineRule="auto"/>
        <w:ind w:firstLine="600"/>
        <w:jc w:val="both"/>
        <w:rPr>
          <w:rFonts w:hint="eastAsia" w:ascii="仿宋_GB2312"/>
          <w:b w:val="0"/>
          <w:bCs w:val="0"/>
          <w:color w:val="auto"/>
          <w:u w:val="none"/>
        </w:rPr>
        <w:sectPr>
          <w:footerReference r:id="rId12" w:type="default"/>
          <w:pgSz w:w="11906" w:h="16838"/>
          <w:pgMar w:top="2041" w:right="1531" w:bottom="2041" w:left="1531" w:header="851" w:footer="1417" w:gutter="0"/>
          <w:paperSrc/>
          <w:pgNumType w:fmt="decimal" w:start="1"/>
          <w:cols w:space="720" w:num="1"/>
          <w:rtlGutter w:val="0"/>
          <w:docGrid w:type="linesAndChars" w:linePitch="607" w:charSpace="0"/>
        </w:sectPr>
      </w:pP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79" w:lineRule="exact"/>
        <w:jc w:val="center"/>
        <w:textAlignment w:val="auto"/>
        <w:rPr>
          <w:rFonts w:hint="eastAsia" w:ascii="方正小标宋简体" w:hAnsi="方正小标宋简体" w:eastAsia="方正小标宋简体" w:cs="方正小标宋简体"/>
          <w:b w:val="0"/>
          <w:bCs w:val="0"/>
          <w:sz w:val="44"/>
          <w:szCs w:val="44"/>
          <w:u w:val="none"/>
        </w:rPr>
      </w:pPr>
      <w:bookmarkStart w:id="13" w:name="_Toc31860"/>
      <w:r>
        <w:rPr>
          <w:rFonts w:hint="eastAsia" w:ascii="方正小标宋简体" w:hAnsi="方正小标宋简体" w:eastAsia="方正小标宋简体" w:cs="方正小标宋简体"/>
          <w:b w:val="0"/>
          <w:bCs w:val="0"/>
          <w:sz w:val="44"/>
          <w:szCs w:val="44"/>
          <w:u w:val="none"/>
        </w:rPr>
        <w:t>总则</w:t>
      </w:r>
      <w:bookmarkEnd w:id="13"/>
    </w:p>
    <w:p>
      <w:pPr>
        <w:keepNext w:val="0"/>
        <w:keepLines w:val="0"/>
        <w:pageBreakBefore w:val="0"/>
        <w:widowControl w:val="0"/>
        <w:kinsoku/>
        <w:wordWrap/>
        <w:overflowPunct/>
        <w:topLinePunct w:val="0"/>
        <w:autoSpaceDE/>
        <w:autoSpaceDN/>
        <w:bidi w:val="0"/>
        <w:adjustRightInd/>
        <w:snapToGrid/>
        <w:spacing w:line="579" w:lineRule="exact"/>
        <w:textAlignment w:val="auto"/>
      </w:pP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jc w:val="both"/>
        <w:textAlignment w:val="auto"/>
        <w:rPr>
          <w:rFonts w:hint="eastAsia"/>
          <w:b w:val="0"/>
          <w:bCs w:val="0"/>
          <w:sz w:val="32"/>
          <w:szCs w:val="32"/>
          <w:u w:val="none"/>
        </w:rPr>
      </w:pPr>
      <w:bookmarkStart w:id="14" w:name="_Toc6387"/>
      <w:r>
        <w:rPr>
          <w:rFonts w:hint="eastAsia"/>
          <w:b w:val="0"/>
          <w:bCs w:val="0"/>
          <w:sz w:val="32"/>
          <w:szCs w:val="32"/>
          <w:u w:val="none"/>
        </w:rPr>
        <w:t>编制目的</w:t>
      </w:r>
      <w:bookmarkEnd w:id="14"/>
    </w:p>
    <w:p>
      <w:pPr>
        <w:keepNext w:val="0"/>
        <w:keepLines w:val="0"/>
        <w:pageBreakBefore w:val="0"/>
        <w:widowControl w:val="0"/>
        <w:kinsoku/>
        <w:wordWrap/>
        <w:overflowPunct/>
        <w:topLinePunct w:val="0"/>
        <w:autoSpaceDE/>
        <w:autoSpaceDN/>
        <w:bidi w:val="0"/>
        <w:adjustRightInd/>
        <w:snapToGrid/>
        <w:spacing w:line="579" w:lineRule="exact"/>
        <w:ind w:firstLine="600"/>
        <w:jc w:val="both"/>
        <w:textAlignment w:val="auto"/>
        <w:rPr>
          <w:rFonts w:hint="eastAsia" w:ascii="仿宋_GB2312"/>
          <w:b w:val="0"/>
          <w:bCs w:val="0"/>
          <w:sz w:val="32"/>
          <w:szCs w:val="32"/>
          <w:u w:val="none"/>
        </w:rPr>
      </w:pPr>
      <w:r>
        <w:rPr>
          <w:rFonts w:hint="eastAsia" w:ascii="仿宋_GB2312"/>
          <w:b w:val="0"/>
          <w:bCs w:val="0"/>
          <w:sz w:val="32"/>
          <w:szCs w:val="32"/>
          <w:u w:val="none"/>
        </w:rPr>
        <w:t>为全面贯彻落实《中共中央 国务院关于建立国土空间规划体系并监督实施的若干意见》（中发〔</w:t>
      </w:r>
      <w:r>
        <w:rPr>
          <w:rFonts w:hint="eastAsia"/>
          <w:b w:val="0"/>
          <w:bCs w:val="0"/>
          <w:sz w:val="32"/>
          <w:szCs w:val="32"/>
          <w:u w:val="none"/>
        </w:rPr>
        <w:t>2019</w:t>
      </w:r>
      <w:r>
        <w:rPr>
          <w:rFonts w:hint="eastAsia" w:ascii="仿宋_GB2312"/>
          <w:b w:val="0"/>
          <w:bCs w:val="0"/>
          <w:sz w:val="32"/>
          <w:szCs w:val="32"/>
          <w:u w:val="none"/>
        </w:rPr>
        <w:t>〕</w:t>
      </w:r>
      <w:r>
        <w:rPr>
          <w:rFonts w:hint="eastAsia"/>
          <w:b w:val="0"/>
          <w:bCs w:val="0"/>
          <w:sz w:val="32"/>
          <w:szCs w:val="32"/>
          <w:u w:val="none"/>
        </w:rPr>
        <w:t>18</w:t>
      </w:r>
      <w:r>
        <w:rPr>
          <w:rFonts w:hint="eastAsia" w:ascii="仿宋_GB2312"/>
          <w:b w:val="0"/>
          <w:bCs w:val="0"/>
          <w:sz w:val="32"/>
          <w:szCs w:val="32"/>
          <w:u w:val="none"/>
        </w:rPr>
        <w:t>号）、《中共广东省委 广东省人民政府印发〈关于建立</w:t>
      </w:r>
      <w:r>
        <w:rPr>
          <w:rFonts w:hint="eastAsia"/>
          <w:b w:val="0"/>
          <w:bCs w:val="0"/>
          <w:sz w:val="32"/>
          <w:szCs w:val="32"/>
          <w:u w:val="none"/>
        </w:rPr>
        <w:t>国土</w:t>
      </w:r>
      <w:r>
        <w:rPr>
          <w:rFonts w:hint="eastAsia" w:ascii="仿宋_GB2312"/>
          <w:b w:val="0"/>
          <w:bCs w:val="0"/>
          <w:sz w:val="32"/>
          <w:szCs w:val="32"/>
          <w:u w:val="none"/>
        </w:rPr>
        <w:t>空间规划体系并监督实施的若干措施〉的通知》（粤发〔</w:t>
      </w:r>
      <w:r>
        <w:rPr>
          <w:rFonts w:hint="eastAsia"/>
          <w:b w:val="0"/>
          <w:bCs w:val="0"/>
          <w:sz w:val="32"/>
          <w:szCs w:val="32"/>
          <w:u w:val="none"/>
        </w:rPr>
        <w:t>2021</w:t>
      </w:r>
      <w:r>
        <w:rPr>
          <w:rFonts w:hint="eastAsia" w:ascii="仿宋_GB2312"/>
          <w:b w:val="0"/>
          <w:bCs w:val="0"/>
          <w:sz w:val="32"/>
          <w:szCs w:val="32"/>
          <w:u w:val="none"/>
        </w:rPr>
        <w:t>〕</w:t>
      </w:r>
      <w:r>
        <w:rPr>
          <w:rFonts w:hint="eastAsia"/>
          <w:b w:val="0"/>
          <w:bCs w:val="0"/>
          <w:sz w:val="32"/>
          <w:szCs w:val="32"/>
          <w:u w:val="none"/>
        </w:rPr>
        <w:t>5</w:t>
      </w:r>
      <w:r>
        <w:rPr>
          <w:rFonts w:hint="eastAsia" w:ascii="仿宋_GB2312"/>
          <w:b w:val="0"/>
          <w:bCs w:val="0"/>
          <w:sz w:val="32"/>
          <w:szCs w:val="32"/>
          <w:u w:val="none"/>
        </w:rPr>
        <w:t>号），对珠海市域范围内国土空间开发保护作出总体安排和综合部署，合理保护与利用全市国土空间资源，为实施“产业第一、交通提升、城市跨越、民生为要”工作总抓手提供空间保障，支撑珠海市高质量发展，根据《粤港澳大湾区发展规划纲要》《横琴粤澳深度合作区建设总体方案》《中共广东省委 广东省人民政府关于支持珠海建设新时代中国特色社会主义现代化国际化经济特区的意见》以及国家、广东省、珠海市法规政策和技术标准等，制定本规划。</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jc w:val="both"/>
        <w:textAlignment w:val="auto"/>
        <w:rPr>
          <w:rFonts w:hint="eastAsia"/>
          <w:b w:val="0"/>
          <w:bCs w:val="0"/>
          <w:sz w:val="32"/>
          <w:szCs w:val="32"/>
          <w:u w:val="none"/>
        </w:rPr>
      </w:pPr>
      <w:bookmarkStart w:id="15" w:name="_Toc4782"/>
      <w:r>
        <w:rPr>
          <w:rFonts w:hint="eastAsia"/>
          <w:b w:val="0"/>
          <w:bCs w:val="0"/>
          <w:sz w:val="32"/>
          <w:szCs w:val="32"/>
          <w:u w:val="none"/>
        </w:rPr>
        <w:t>规划依据</w:t>
      </w:r>
      <w:bookmarkEnd w:id="15"/>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sz w:val="32"/>
          <w:szCs w:val="32"/>
          <w:u w:val="none"/>
        </w:rPr>
      </w:pPr>
      <w:r>
        <w:rPr>
          <w:rFonts w:hint="eastAsia" w:ascii="仿宋_GB2312" w:hAnsi="仿宋_GB2312" w:eastAsia="仿宋_GB2312" w:cs="仿宋_GB2312"/>
          <w:b w:val="0"/>
          <w:bCs w:val="0"/>
          <w:sz w:val="32"/>
          <w:szCs w:val="32"/>
          <w:u w:val="none"/>
          <w:lang w:val="en-US" w:eastAsia="zh-CN"/>
        </w:rPr>
        <w:t>1.</w:t>
      </w:r>
      <w:r>
        <w:rPr>
          <w:rFonts w:hint="eastAsia" w:ascii="仿宋_GB2312" w:hAnsi="仿宋_GB2312" w:eastAsia="仿宋_GB2312" w:cs="仿宋_GB2312"/>
          <w:b w:val="0"/>
          <w:bCs w:val="0"/>
          <w:sz w:val="32"/>
          <w:szCs w:val="32"/>
          <w:u w:val="none"/>
        </w:rPr>
        <w:t>《中共中央 国务院关于建立国土空间规划体系并监督实施的若干意见》（中发〔2019〕18号）</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sz w:val="32"/>
          <w:szCs w:val="32"/>
          <w:u w:val="none"/>
        </w:rPr>
      </w:pPr>
      <w:r>
        <w:rPr>
          <w:rFonts w:hint="eastAsia" w:ascii="仿宋_GB2312" w:hAnsi="仿宋_GB2312" w:eastAsia="仿宋_GB2312" w:cs="仿宋_GB2312"/>
          <w:b w:val="0"/>
          <w:bCs w:val="0"/>
          <w:sz w:val="32"/>
          <w:szCs w:val="32"/>
          <w:u w:val="none"/>
          <w:lang w:val="en-US" w:eastAsia="zh-CN"/>
        </w:rPr>
        <w:t>2.</w:t>
      </w:r>
      <w:r>
        <w:rPr>
          <w:rFonts w:hint="eastAsia" w:ascii="仿宋_GB2312" w:hAnsi="仿宋_GB2312" w:eastAsia="仿宋_GB2312" w:cs="仿宋_GB2312"/>
          <w:b w:val="0"/>
          <w:bCs w:val="0"/>
          <w:sz w:val="32"/>
          <w:szCs w:val="32"/>
          <w:u w:val="none"/>
        </w:rPr>
        <w:t>《粤港澳大湾区发展规划纲要》</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sz w:val="32"/>
          <w:szCs w:val="32"/>
          <w:u w:val="none"/>
        </w:rPr>
      </w:pPr>
      <w:r>
        <w:rPr>
          <w:rFonts w:hint="eastAsia" w:ascii="仿宋_GB2312" w:hAnsi="仿宋_GB2312" w:eastAsia="仿宋_GB2312" w:cs="仿宋_GB2312"/>
          <w:b w:val="0"/>
          <w:bCs w:val="0"/>
          <w:sz w:val="32"/>
          <w:szCs w:val="32"/>
          <w:u w:val="none"/>
          <w:lang w:val="en-US" w:eastAsia="zh-CN"/>
        </w:rPr>
        <w:t>3.</w:t>
      </w:r>
      <w:r>
        <w:rPr>
          <w:rFonts w:hint="eastAsia" w:ascii="仿宋_GB2312" w:hAnsi="仿宋_GB2312" w:eastAsia="仿宋_GB2312" w:cs="仿宋_GB2312"/>
          <w:b w:val="0"/>
          <w:bCs w:val="0"/>
          <w:sz w:val="32"/>
          <w:szCs w:val="32"/>
          <w:u w:val="none"/>
        </w:rPr>
        <w:t>《横琴粤澳深度合作区建设总体方案》</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sz w:val="32"/>
          <w:szCs w:val="32"/>
          <w:u w:val="none"/>
        </w:rPr>
      </w:pPr>
      <w:r>
        <w:rPr>
          <w:rFonts w:hint="eastAsia" w:ascii="仿宋_GB2312" w:hAnsi="仿宋_GB2312" w:eastAsia="仿宋_GB2312" w:cs="仿宋_GB2312"/>
          <w:b w:val="0"/>
          <w:bCs w:val="0"/>
          <w:sz w:val="32"/>
          <w:szCs w:val="32"/>
          <w:u w:val="none"/>
          <w:lang w:val="en-US" w:eastAsia="zh-CN"/>
        </w:rPr>
        <w:t>4.</w:t>
      </w:r>
      <w:r>
        <w:rPr>
          <w:rFonts w:hint="eastAsia" w:ascii="仿宋_GB2312" w:hAnsi="仿宋_GB2312" w:eastAsia="仿宋_GB2312" w:cs="仿宋_GB2312"/>
          <w:b w:val="0"/>
          <w:bCs w:val="0"/>
          <w:sz w:val="32"/>
          <w:szCs w:val="32"/>
          <w:u w:val="none"/>
        </w:rPr>
        <w:t>《中华人民共和国国民经济和社会发展第十四个五年规划和2035年远景目标纲要》</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sz w:val="32"/>
          <w:szCs w:val="32"/>
          <w:u w:val="none"/>
        </w:rPr>
      </w:pPr>
      <w:r>
        <w:rPr>
          <w:rFonts w:hint="eastAsia" w:ascii="仿宋_GB2312" w:hAnsi="仿宋_GB2312" w:eastAsia="仿宋_GB2312" w:cs="仿宋_GB2312"/>
          <w:b w:val="0"/>
          <w:bCs w:val="0"/>
          <w:sz w:val="32"/>
          <w:szCs w:val="32"/>
          <w:u w:val="none"/>
          <w:lang w:val="en-US" w:eastAsia="zh-CN"/>
        </w:rPr>
        <w:t>5.</w:t>
      </w:r>
      <w:r>
        <w:rPr>
          <w:rFonts w:hint="eastAsia" w:ascii="仿宋_GB2312" w:hAnsi="仿宋_GB2312" w:eastAsia="仿宋_GB2312" w:cs="仿宋_GB2312"/>
          <w:b w:val="0"/>
          <w:bCs w:val="0"/>
          <w:sz w:val="32"/>
          <w:szCs w:val="32"/>
          <w:u w:val="none"/>
        </w:rPr>
        <w:t>《全国国土空间规划纲要（2021-2035年）》</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sz w:val="32"/>
          <w:szCs w:val="32"/>
          <w:u w:val="none"/>
        </w:rPr>
      </w:pPr>
      <w:r>
        <w:rPr>
          <w:rFonts w:hint="eastAsia" w:ascii="仿宋_GB2312" w:hAnsi="仿宋_GB2312" w:eastAsia="仿宋_GB2312" w:cs="仿宋_GB2312"/>
          <w:b w:val="0"/>
          <w:bCs w:val="0"/>
          <w:sz w:val="32"/>
          <w:szCs w:val="32"/>
          <w:u w:val="none"/>
          <w:lang w:val="en-US" w:eastAsia="zh-CN"/>
        </w:rPr>
        <w:t>6.</w:t>
      </w:r>
      <w:r>
        <w:rPr>
          <w:rFonts w:hint="eastAsia" w:ascii="仿宋_GB2312" w:hAnsi="仿宋_GB2312" w:eastAsia="仿宋_GB2312" w:cs="仿宋_GB2312"/>
          <w:b w:val="0"/>
          <w:bCs w:val="0"/>
          <w:sz w:val="32"/>
          <w:szCs w:val="32"/>
          <w:u w:val="none"/>
        </w:rPr>
        <w:t>《中共中央办公厅 国务院办公厅印发〈关于在国土空间规划中统筹划定落实三条控制线的指导意见〉的通知》（厅字〔2019〕48号）</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sz w:val="32"/>
          <w:szCs w:val="32"/>
          <w:u w:val="none"/>
        </w:rPr>
      </w:pPr>
      <w:r>
        <w:rPr>
          <w:rFonts w:hint="eastAsia" w:ascii="仿宋_GB2312" w:hAnsi="仿宋_GB2312" w:eastAsia="仿宋_GB2312" w:cs="仿宋_GB2312"/>
          <w:b w:val="0"/>
          <w:bCs w:val="0"/>
          <w:sz w:val="32"/>
          <w:szCs w:val="32"/>
          <w:u w:val="none"/>
          <w:lang w:val="en-US" w:eastAsia="zh-CN"/>
        </w:rPr>
        <w:t>7.</w:t>
      </w:r>
      <w:r>
        <w:rPr>
          <w:rFonts w:hint="eastAsia" w:ascii="仿宋_GB2312" w:hAnsi="仿宋_GB2312" w:eastAsia="仿宋_GB2312" w:cs="仿宋_GB2312"/>
          <w:b w:val="0"/>
          <w:bCs w:val="0"/>
          <w:sz w:val="32"/>
          <w:szCs w:val="32"/>
          <w:u w:val="none"/>
        </w:rPr>
        <w:t>《中共中央办公厅 国务院办公厅关于建立国家公园为主体的自然保护地体系的指导意见》（中办发〔2019〕42号）</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sz w:val="32"/>
          <w:szCs w:val="32"/>
          <w:u w:val="none"/>
        </w:rPr>
      </w:pPr>
      <w:r>
        <w:rPr>
          <w:rFonts w:hint="eastAsia" w:ascii="仿宋_GB2312" w:hAnsi="仿宋_GB2312" w:eastAsia="仿宋_GB2312" w:cs="仿宋_GB2312"/>
          <w:b w:val="0"/>
          <w:bCs w:val="0"/>
          <w:sz w:val="32"/>
          <w:szCs w:val="32"/>
          <w:u w:val="none"/>
          <w:lang w:val="en-US" w:eastAsia="zh-CN"/>
        </w:rPr>
        <w:t>8.</w:t>
      </w:r>
      <w:r>
        <w:rPr>
          <w:rFonts w:hint="eastAsia" w:ascii="仿宋_GB2312" w:hAnsi="仿宋_GB2312" w:eastAsia="仿宋_GB2312" w:cs="仿宋_GB2312"/>
          <w:b w:val="0"/>
          <w:bCs w:val="0"/>
          <w:sz w:val="32"/>
          <w:szCs w:val="32"/>
          <w:u w:val="none"/>
        </w:rPr>
        <w:t>《自然资源部关于全面开展国土空间规划工作的通知》（自然资发〔2019〕87号）</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sz w:val="32"/>
          <w:szCs w:val="32"/>
          <w:u w:val="none"/>
        </w:rPr>
      </w:pPr>
      <w:r>
        <w:rPr>
          <w:rFonts w:hint="eastAsia" w:ascii="仿宋_GB2312" w:hAnsi="仿宋_GB2312" w:eastAsia="仿宋_GB2312" w:cs="仿宋_GB2312"/>
          <w:b w:val="0"/>
          <w:bCs w:val="0"/>
          <w:sz w:val="32"/>
          <w:szCs w:val="32"/>
          <w:u w:val="none"/>
          <w:lang w:val="en-US" w:eastAsia="zh-CN"/>
        </w:rPr>
        <w:t>9.</w:t>
      </w:r>
      <w:r>
        <w:rPr>
          <w:rFonts w:hint="eastAsia" w:ascii="仿宋_GB2312" w:hAnsi="仿宋_GB2312" w:eastAsia="仿宋_GB2312" w:cs="仿宋_GB2312"/>
          <w:b w:val="0"/>
          <w:bCs w:val="0"/>
          <w:sz w:val="32"/>
          <w:szCs w:val="32"/>
          <w:u w:val="none"/>
        </w:rPr>
        <w:t>《市级国土空间总体规划编制指南（试行）》（2020年）</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sz w:val="32"/>
          <w:szCs w:val="32"/>
          <w:u w:val="none"/>
        </w:rPr>
      </w:pPr>
      <w:r>
        <w:rPr>
          <w:rFonts w:hint="eastAsia" w:ascii="仿宋_GB2312" w:hAnsi="仿宋_GB2312" w:eastAsia="仿宋_GB2312" w:cs="仿宋_GB2312"/>
          <w:b w:val="0"/>
          <w:bCs w:val="0"/>
          <w:sz w:val="32"/>
          <w:szCs w:val="32"/>
          <w:u w:val="none"/>
          <w:lang w:val="en-US" w:eastAsia="zh-CN"/>
        </w:rPr>
        <w:t>10.</w:t>
      </w:r>
      <w:r>
        <w:rPr>
          <w:rFonts w:hint="eastAsia" w:ascii="仿宋_GB2312" w:hAnsi="仿宋_GB2312" w:eastAsia="仿宋_GB2312" w:cs="仿宋_GB2312"/>
          <w:b w:val="0"/>
          <w:bCs w:val="0"/>
          <w:sz w:val="32"/>
          <w:szCs w:val="32"/>
          <w:u w:val="none"/>
        </w:rPr>
        <w:t>《中共广东省委 广东省人民政府关于支持珠海建设新时代中国特色社会主义现代化国际化经济特区的意见》</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sz w:val="32"/>
          <w:szCs w:val="32"/>
          <w:u w:val="none"/>
        </w:rPr>
      </w:pPr>
      <w:r>
        <w:rPr>
          <w:rFonts w:hint="eastAsia" w:ascii="仿宋_GB2312" w:hAnsi="仿宋_GB2312" w:eastAsia="仿宋_GB2312" w:cs="仿宋_GB2312"/>
          <w:b w:val="0"/>
          <w:bCs w:val="0"/>
          <w:sz w:val="32"/>
          <w:szCs w:val="32"/>
          <w:u w:val="none"/>
          <w:lang w:val="en-US" w:eastAsia="zh-CN"/>
        </w:rPr>
        <w:t>11.</w:t>
      </w:r>
      <w:r>
        <w:rPr>
          <w:rFonts w:hint="eastAsia" w:ascii="仿宋_GB2312" w:hAnsi="仿宋_GB2312" w:eastAsia="仿宋_GB2312" w:cs="仿宋_GB2312"/>
          <w:b w:val="0"/>
          <w:bCs w:val="0"/>
          <w:sz w:val="32"/>
          <w:szCs w:val="32"/>
          <w:u w:val="none"/>
        </w:rPr>
        <w:t>《广东省国民经济和社会发展第十四个五年规划和2035年远景目标纲要》</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sz w:val="32"/>
          <w:szCs w:val="32"/>
          <w:u w:val="none"/>
        </w:rPr>
      </w:pPr>
      <w:r>
        <w:rPr>
          <w:rFonts w:hint="eastAsia" w:ascii="仿宋_GB2312" w:hAnsi="仿宋_GB2312" w:eastAsia="仿宋_GB2312" w:cs="仿宋_GB2312"/>
          <w:b w:val="0"/>
          <w:bCs w:val="0"/>
          <w:sz w:val="32"/>
          <w:szCs w:val="32"/>
          <w:u w:val="none"/>
          <w:lang w:val="en-US" w:eastAsia="zh-CN"/>
        </w:rPr>
        <w:t>12.</w:t>
      </w:r>
      <w:r>
        <w:rPr>
          <w:rFonts w:hint="eastAsia" w:ascii="仿宋_GB2312" w:hAnsi="仿宋_GB2312" w:eastAsia="仿宋_GB2312" w:cs="仿宋_GB2312"/>
          <w:b w:val="0"/>
          <w:bCs w:val="0"/>
          <w:sz w:val="32"/>
          <w:szCs w:val="32"/>
          <w:u w:val="none"/>
        </w:rPr>
        <w:t>《广东省国土空间规划（2021-2035年）》</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sz w:val="32"/>
          <w:szCs w:val="32"/>
          <w:u w:val="none"/>
        </w:rPr>
      </w:pPr>
      <w:r>
        <w:rPr>
          <w:rFonts w:hint="eastAsia" w:ascii="仿宋_GB2312" w:hAnsi="仿宋_GB2312" w:eastAsia="仿宋_GB2312" w:cs="仿宋_GB2312"/>
          <w:b w:val="0"/>
          <w:bCs w:val="0"/>
          <w:sz w:val="32"/>
          <w:szCs w:val="32"/>
          <w:u w:val="none"/>
          <w:lang w:val="en-US" w:eastAsia="zh-CN"/>
        </w:rPr>
        <w:t>13.</w:t>
      </w:r>
      <w:r>
        <w:rPr>
          <w:rFonts w:hint="eastAsia" w:ascii="仿宋_GB2312" w:hAnsi="仿宋_GB2312" w:eastAsia="仿宋_GB2312" w:cs="仿宋_GB2312"/>
          <w:b w:val="0"/>
          <w:bCs w:val="0"/>
          <w:sz w:val="32"/>
          <w:szCs w:val="32"/>
          <w:u w:val="none"/>
        </w:rPr>
        <w:t>《广东省市级国土空间规划编制手册（试行）》（2022年）</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b w:val="0"/>
          <w:bCs w:val="0"/>
          <w:sz w:val="32"/>
          <w:szCs w:val="32"/>
          <w:u w:val="none"/>
        </w:rPr>
      </w:pPr>
      <w:r>
        <w:rPr>
          <w:rFonts w:hint="eastAsia" w:ascii="仿宋_GB2312" w:hAnsi="仿宋_GB2312" w:eastAsia="仿宋_GB2312" w:cs="仿宋_GB2312"/>
          <w:b w:val="0"/>
          <w:bCs w:val="0"/>
          <w:sz w:val="32"/>
          <w:szCs w:val="32"/>
          <w:u w:val="none"/>
          <w:lang w:val="en-US" w:eastAsia="zh-CN"/>
        </w:rPr>
        <w:t>14.</w:t>
      </w:r>
      <w:r>
        <w:rPr>
          <w:rFonts w:hint="eastAsia" w:ascii="仿宋_GB2312" w:hAnsi="仿宋_GB2312" w:eastAsia="仿宋_GB2312" w:cs="仿宋_GB2312"/>
          <w:b w:val="0"/>
          <w:bCs w:val="0"/>
          <w:sz w:val="32"/>
          <w:szCs w:val="32"/>
          <w:u w:val="none"/>
        </w:rPr>
        <w:t>《珠海市国民经济和社会发展第十四个五年规划和二〇三五年远景目标纲要》</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600" w:leftChars="0"/>
        <w:jc w:val="both"/>
        <w:textAlignment w:val="auto"/>
        <w:rPr>
          <w:rFonts w:hint="eastAsia" w:ascii="仿宋_GB2312" w:hAnsi="仿宋_GB2312" w:eastAsia="仿宋_GB2312" w:cs="仿宋_GB2312"/>
          <w:b w:val="0"/>
          <w:bCs w:val="0"/>
          <w:sz w:val="32"/>
          <w:szCs w:val="32"/>
          <w:u w:val="none"/>
        </w:rPr>
      </w:pPr>
      <w:r>
        <w:rPr>
          <w:rFonts w:hint="eastAsia" w:ascii="仿宋_GB2312" w:hAnsi="仿宋_GB2312" w:eastAsia="仿宋_GB2312" w:cs="仿宋_GB2312"/>
          <w:b w:val="0"/>
          <w:bCs w:val="0"/>
          <w:sz w:val="32"/>
          <w:szCs w:val="32"/>
          <w:u w:val="none"/>
          <w:lang w:val="en-US" w:eastAsia="zh-CN"/>
        </w:rPr>
        <w:t>15.</w:t>
      </w:r>
      <w:r>
        <w:rPr>
          <w:rFonts w:hint="eastAsia" w:ascii="仿宋_GB2312" w:hAnsi="仿宋_GB2312" w:eastAsia="仿宋_GB2312" w:cs="仿宋_GB2312"/>
          <w:b w:val="0"/>
          <w:bCs w:val="0"/>
          <w:sz w:val="32"/>
          <w:szCs w:val="32"/>
          <w:u w:val="none"/>
        </w:rPr>
        <w:t>其他相关法律法规和技术规范等</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jc w:val="both"/>
        <w:textAlignment w:val="auto"/>
        <w:rPr>
          <w:rFonts w:hint="eastAsia"/>
          <w:b w:val="0"/>
          <w:bCs w:val="0"/>
          <w:sz w:val="32"/>
          <w:szCs w:val="32"/>
          <w:u w:val="none"/>
        </w:rPr>
      </w:pPr>
      <w:bookmarkStart w:id="16" w:name="_Toc15432"/>
      <w:r>
        <w:rPr>
          <w:rFonts w:hint="eastAsia"/>
          <w:b w:val="0"/>
          <w:bCs w:val="0"/>
          <w:sz w:val="32"/>
          <w:szCs w:val="32"/>
          <w:u w:val="none"/>
        </w:rPr>
        <w:t>指导思想</w:t>
      </w:r>
      <w:bookmarkEnd w:id="16"/>
    </w:p>
    <w:p>
      <w:pPr>
        <w:keepNext w:val="0"/>
        <w:keepLines w:val="0"/>
        <w:pageBreakBefore w:val="0"/>
        <w:widowControl w:val="0"/>
        <w:kinsoku/>
        <w:wordWrap/>
        <w:overflowPunct/>
        <w:topLinePunct w:val="0"/>
        <w:autoSpaceDE/>
        <w:autoSpaceDN/>
        <w:bidi w:val="0"/>
        <w:adjustRightInd/>
        <w:snapToGrid/>
        <w:spacing w:line="579" w:lineRule="exact"/>
        <w:ind w:firstLine="600"/>
        <w:jc w:val="both"/>
        <w:textAlignment w:val="auto"/>
        <w:rPr>
          <w:rFonts w:hint="eastAsia" w:ascii="仿宋_GB2312"/>
          <w:b w:val="0"/>
          <w:bCs w:val="0"/>
          <w:sz w:val="32"/>
          <w:szCs w:val="32"/>
          <w:u w:val="none"/>
        </w:rPr>
      </w:pPr>
      <w:r>
        <w:rPr>
          <w:rFonts w:hint="eastAsia" w:ascii="仿宋_GB2312"/>
          <w:b w:val="0"/>
          <w:bCs w:val="0"/>
          <w:sz w:val="32"/>
          <w:szCs w:val="32"/>
          <w:u w:val="none"/>
        </w:rPr>
        <w:t>坚持以习近平新时代中国特色</w:t>
      </w:r>
      <w:r>
        <w:rPr>
          <w:rFonts w:hint="eastAsia"/>
          <w:b w:val="0"/>
          <w:bCs w:val="0"/>
          <w:sz w:val="32"/>
          <w:szCs w:val="32"/>
          <w:u w:val="none"/>
        </w:rPr>
        <w:t>社会主义</w:t>
      </w:r>
      <w:r>
        <w:rPr>
          <w:rFonts w:hint="eastAsia" w:ascii="仿宋_GB2312"/>
          <w:b w:val="0"/>
          <w:bCs w:val="0"/>
          <w:sz w:val="32"/>
          <w:szCs w:val="32"/>
          <w:u w:val="none"/>
        </w:rPr>
        <w:t>思想为指导，全面贯彻党的二十大精神，深入贯彻习近平总书记对广东系列重要讲话和重要指示精神，坚持走中国式现代化道路，立足新发展阶段，完整、准确、全面贯彻新发展理念，服务和融入新发展格局，统筹发展和安全，以推动高质量发展为主题，以实施区域协调发展战略、区域重大战略、主体功能区战略、新型城镇化战略、乡村振兴战略为牵引，抢抓“双区”和横琴、前海、南沙三大平台建设战略机遇，深入落实省委、省政府及市委、市政府决策部署，坚持高水平保护，支撑高质量发展，创造高品质生活，实现高效能治理，统筹安排全域全要素空间资源布局，支撑珠海市建设成为民生幸福样板城市、知名生态文明城市和社会主义现代化国际化经济特区。</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jc w:val="both"/>
        <w:textAlignment w:val="auto"/>
        <w:rPr>
          <w:b w:val="0"/>
          <w:bCs w:val="0"/>
          <w:u w:val="none"/>
        </w:rPr>
      </w:pPr>
      <w:bookmarkStart w:id="17" w:name="_Toc11715"/>
      <w:r>
        <w:rPr>
          <w:b w:val="0"/>
          <w:bCs w:val="0"/>
          <w:u w:val="none"/>
        </w:rPr>
        <w:t>规划原则</w:t>
      </w:r>
      <w:bookmarkEnd w:id="17"/>
    </w:p>
    <w:p>
      <w:pPr>
        <w:keepNext w:val="0"/>
        <w:keepLines w:val="0"/>
        <w:pageBreakBefore w:val="0"/>
        <w:widowControl w:val="0"/>
        <w:kinsoku/>
        <w:wordWrap/>
        <w:overflowPunct/>
        <w:topLinePunct w:val="0"/>
        <w:autoSpaceDE/>
        <w:autoSpaceDN/>
        <w:bidi w:val="0"/>
        <w:adjustRightInd/>
        <w:snapToGrid/>
        <w:spacing w:line="579" w:lineRule="exact"/>
        <w:ind w:firstLine="602"/>
        <w:jc w:val="both"/>
        <w:textAlignment w:val="auto"/>
        <w:rPr>
          <w:rFonts w:hint="eastAsia" w:ascii="仿宋_GB2312"/>
          <w:b w:val="0"/>
          <w:bCs w:val="0"/>
          <w:sz w:val="32"/>
          <w:szCs w:val="32"/>
          <w:u w:val="none"/>
        </w:rPr>
      </w:pPr>
      <w:r>
        <w:rPr>
          <w:rFonts w:hint="eastAsia" w:cs="仿宋"/>
          <w:b w:val="0"/>
          <w:bCs w:val="0"/>
          <w:sz w:val="32"/>
          <w:szCs w:val="32"/>
          <w:u w:val="none"/>
        </w:rPr>
        <w:t>坚持生态优先。坚定不移推进生态文明建设，坚持人与自然、经济与社会协调发展，保持山海相拥、陆岛相望、城田相依的城市风貌</w:t>
      </w:r>
      <w:r>
        <w:rPr>
          <w:rFonts w:hint="eastAsia" w:ascii="仿宋_GB2312"/>
          <w:b w:val="0"/>
          <w:bCs w:val="0"/>
          <w:sz w:val="32"/>
          <w:szCs w:val="32"/>
          <w:u w:val="none"/>
        </w:rPr>
        <w:t>。</w:t>
      </w:r>
    </w:p>
    <w:p>
      <w:pPr>
        <w:keepNext w:val="0"/>
        <w:keepLines w:val="0"/>
        <w:pageBreakBefore w:val="0"/>
        <w:widowControl w:val="0"/>
        <w:kinsoku/>
        <w:wordWrap/>
        <w:overflowPunct/>
        <w:topLinePunct w:val="0"/>
        <w:autoSpaceDE/>
        <w:autoSpaceDN/>
        <w:bidi w:val="0"/>
        <w:adjustRightInd/>
        <w:snapToGrid/>
        <w:spacing w:line="579" w:lineRule="exact"/>
        <w:ind w:firstLine="602"/>
        <w:jc w:val="both"/>
        <w:textAlignment w:val="auto"/>
        <w:rPr>
          <w:rFonts w:hint="eastAsia" w:ascii="仿宋_GB2312"/>
          <w:b w:val="0"/>
          <w:bCs w:val="0"/>
          <w:sz w:val="32"/>
          <w:szCs w:val="32"/>
          <w:u w:val="none"/>
        </w:rPr>
      </w:pPr>
      <w:r>
        <w:rPr>
          <w:rFonts w:hint="eastAsia" w:ascii="仿宋_GB2312"/>
          <w:b w:val="0"/>
          <w:bCs w:val="0"/>
          <w:sz w:val="32"/>
          <w:szCs w:val="32"/>
          <w:u w:val="none"/>
        </w:rPr>
        <w:t>坚持规划引领。突出规划先行，全域规划管理，强化城乡统筹、陆海统筹，加强与大湾区城市群协同发展，切实提高规划的科学性、前瞻性和精细化水平。</w:t>
      </w:r>
    </w:p>
    <w:p>
      <w:pPr>
        <w:keepNext w:val="0"/>
        <w:keepLines w:val="0"/>
        <w:pageBreakBefore w:val="0"/>
        <w:widowControl w:val="0"/>
        <w:kinsoku/>
        <w:wordWrap/>
        <w:overflowPunct/>
        <w:topLinePunct w:val="0"/>
        <w:autoSpaceDE/>
        <w:autoSpaceDN/>
        <w:bidi w:val="0"/>
        <w:adjustRightInd/>
        <w:snapToGrid/>
        <w:spacing w:line="579" w:lineRule="exact"/>
        <w:ind w:firstLine="602"/>
        <w:jc w:val="both"/>
        <w:textAlignment w:val="auto"/>
        <w:rPr>
          <w:rFonts w:hint="eastAsia" w:ascii="仿宋_GB2312"/>
          <w:b w:val="0"/>
          <w:bCs w:val="0"/>
          <w:sz w:val="32"/>
          <w:szCs w:val="32"/>
          <w:u w:val="none"/>
        </w:rPr>
      </w:pPr>
      <w:r>
        <w:rPr>
          <w:rFonts w:hint="eastAsia" w:ascii="仿宋_GB2312"/>
          <w:b w:val="0"/>
          <w:bCs w:val="0"/>
          <w:sz w:val="32"/>
          <w:szCs w:val="32"/>
          <w:u w:val="none"/>
        </w:rPr>
        <w:t>坚持高质量发展。完整准确全面贯彻新发展理念，坚持创新驱动发展，促进产业高端化、绿色化；坚持集约发展，提升土地和自然资源利用效率。</w:t>
      </w:r>
    </w:p>
    <w:p>
      <w:pPr>
        <w:keepNext w:val="0"/>
        <w:keepLines w:val="0"/>
        <w:pageBreakBefore w:val="0"/>
        <w:widowControl w:val="0"/>
        <w:kinsoku/>
        <w:wordWrap/>
        <w:overflowPunct/>
        <w:topLinePunct w:val="0"/>
        <w:autoSpaceDE/>
        <w:autoSpaceDN/>
        <w:bidi w:val="0"/>
        <w:adjustRightInd/>
        <w:snapToGrid/>
        <w:spacing w:line="579" w:lineRule="exact"/>
        <w:ind w:firstLine="602"/>
        <w:jc w:val="both"/>
        <w:textAlignment w:val="auto"/>
        <w:rPr>
          <w:rFonts w:ascii="仿宋_GB2312"/>
          <w:b w:val="0"/>
          <w:bCs w:val="0"/>
          <w:sz w:val="32"/>
          <w:szCs w:val="32"/>
          <w:u w:val="none"/>
        </w:rPr>
      </w:pPr>
      <w:r>
        <w:rPr>
          <w:rFonts w:hint="eastAsia" w:ascii="仿宋_GB2312"/>
          <w:b w:val="0"/>
          <w:bCs w:val="0"/>
          <w:sz w:val="32"/>
          <w:szCs w:val="32"/>
          <w:u w:val="none"/>
        </w:rPr>
        <w:t>坚持以人民为中心。坚持人民城市为人民，构建优质均衡的公共服务体系和安全韧性的基础设施系统，建设高品质城市。</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jc w:val="both"/>
        <w:textAlignment w:val="auto"/>
        <w:rPr>
          <w:rFonts w:hint="eastAsia"/>
          <w:b w:val="0"/>
          <w:bCs w:val="0"/>
          <w:sz w:val="32"/>
          <w:szCs w:val="32"/>
          <w:u w:val="none"/>
        </w:rPr>
      </w:pPr>
      <w:bookmarkStart w:id="18" w:name="_Toc13927"/>
      <w:r>
        <w:rPr>
          <w:rFonts w:hint="eastAsia"/>
          <w:b w:val="0"/>
          <w:bCs w:val="0"/>
          <w:sz w:val="32"/>
          <w:szCs w:val="32"/>
          <w:u w:val="none"/>
        </w:rPr>
        <w:t>规划期限</w:t>
      </w:r>
      <w:bookmarkEnd w:id="18"/>
    </w:p>
    <w:p>
      <w:pPr>
        <w:keepNext w:val="0"/>
        <w:keepLines w:val="0"/>
        <w:pageBreakBefore w:val="0"/>
        <w:widowControl w:val="0"/>
        <w:kinsoku/>
        <w:wordWrap/>
        <w:overflowPunct/>
        <w:topLinePunct w:val="0"/>
        <w:autoSpaceDE/>
        <w:autoSpaceDN/>
        <w:bidi w:val="0"/>
        <w:adjustRightInd/>
        <w:snapToGrid/>
        <w:spacing w:line="579" w:lineRule="exact"/>
        <w:ind w:firstLine="600"/>
        <w:jc w:val="both"/>
        <w:textAlignment w:val="auto"/>
        <w:rPr>
          <w:rFonts w:hint="eastAsia" w:ascii="仿宋_GB2312"/>
          <w:b w:val="0"/>
          <w:bCs w:val="0"/>
          <w:sz w:val="32"/>
          <w:szCs w:val="32"/>
          <w:u w:val="none"/>
        </w:rPr>
      </w:pPr>
      <w:r>
        <w:rPr>
          <w:rFonts w:hint="eastAsia" w:ascii="仿宋_GB2312"/>
          <w:b w:val="0"/>
          <w:bCs w:val="0"/>
          <w:sz w:val="32"/>
          <w:szCs w:val="32"/>
          <w:u w:val="none"/>
        </w:rPr>
        <w:t>本规划基期为</w:t>
      </w:r>
      <w:r>
        <w:rPr>
          <w:rFonts w:hint="eastAsia"/>
          <w:b w:val="0"/>
          <w:bCs w:val="0"/>
          <w:sz w:val="32"/>
          <w:szCs w:val="32"/>
          <w:u w:val="none"/>
        </w:rPr>
        <w:t>2020</w:t>
      </w:r>
      <w:r>
        <w:rPr>
          <w:rFonts w:hint="eastAsia" w:ascii="仿宋_GB2312"/>
          <w:b w:val="0"/>
          <w:bCs w:val="0"/>
          <w:sz w:val="32"/>
          <w:szCs w:val="32"/>
          <w:u w:val="none"/>
        </w:rPr>
        <w:t>年，期限为</w:t>
      </w:r>
      <w:r>
        <w:rPr>
          <w:rFonts w:hint="eastAsia"/>
          <w:b w:val="0"/>
          <w:bCs w:val="0"/>
          <w:sz w:val="32"/>
          <w:szCs w:val="32"/>
          <w:u w:val="none"/>
        </w:rPr>
        <w:t>2021</w:t>
      </w:r>
      <w:r>
        <w:rPr>
          <w:rFonts w:hint="eastAsia" w:ascii="仿宋_GB2312"/>
          <w:b w:val="0"/>
          <w:bCs w:val="0"/>
          <w:sz w:val="32"/>
          <w:szCs w:val="32"/>
          <w:u w:val="none"/>
        </w:rPr>
        <w:t>年至</w:t>
      </w:r>
      <w:r>
        <w:rPr>
          <w:rFonts w:hint="eastAsia"/>
          <w:b w:val="0"/>
          <w:bCs w:val="0"/>
          <w:sz w:val="32"/>
          <w:szCs w:val="32"/>
          <w:u w:val="none"/>
        </w:rPr>
        <w:t>2035</w:t>
      </w:r>
      <w:r>
        <w:rPr>
          <w:rFonts w:hint="eastAsia" w:ascii="仿宋_GB2312"/>
          <w:b w:val="0"/>
          <w:bCs w:val="0"/>
          <w:sz w:val="32"/>
          <w:szCs w:val="32"/>
          <w:u w:val="none"/>
        </w:rPr>
        <w:t>年，近期至</w:t>
      </w:r>
      <w:r>
        <w:rPr>
          <w:rFonts w:hint="eastAsia"/>
          <w:b w:val="0"/>
          <w:bCs w:val="0"/>
          <w:sz w:val="32"/>
          <w:szCs w:val="32"/>
          <w:u w:val="none"/>
        </w:rPr>
        <w:t>2025</w:t>
      </w:r>
      <w:r>
        <w:rPr>
          <w:rFonts w:hint="eastAsia" w:ascii="仿宋_GB2312"/>
          <w:b w:val="0"/>
          <w:bCs w:val="0"/>
          <w:sz w:val="32"/>
          <w:szCs w:val="32"/>
          <w:u w:val="none"/>
        </w:rPr>
        <w:t>年，远景展望至</w:t>
      </w:r>
      <w:r>
        <w:rPr>
          <w:rFonts w:hint="eastAsia"/>
          <w:b w:val="0"/>
          <w:bCs w:val="0"/>
          <w:sz w:val="32"/>
          <w:szCs w:val="32"/>
          <w:u w:val="none"/>
        </w:rPr>
        <w:t>2050</w:t>
      </w:r>
      <w:r>
        <w:rPr>
          <w:rFonts w:hint="eastAsia" w:ascii="仿宋_GB2312"/>
          <w:b w:val="0"/>
          <w:bCs w:val="0"/>
          <w:sz w:val="32"/>
          <w:szCs w:val="32"/>
          <w:u w:val="none"/>
        </w:rPr>
        <w:t>年。</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jc w:val="both"/>
        <w:textAlignment w:val="auto"/>
        <w:rPr>
          <w:b w:val="0"/>
          <w:bCs w:val="0"/>
          <w:sz w:val="32"/>
          <w:szCs w:val="32"/>
          <w:u w:val="none"/>
        </w:rPr>
      </w:pPr>
      <w:bookmarkStart w:id="19" w:name="_Toc19822"/>
      <w:r>
        <w:rPr>
          <w:rFonts w:hint="eastAsia"/>
          <w:b w:val="0"/>
          <w:bCs w:val="0"/>
          <w:sz w:val="32"/>
          <w:szCs w:val="32"/>
          <w:u w:val="none"/>
        </w:rPr>
        <w:t>规划范围</w:t>
      </w:r>
      <w:bookmarkEnd w:id="19"/>
    </w:p>
    <w:p>
      <w:pPr>
        <w:keepNext w:val="0"/>
        <w:keepLines w:val="0"/>
        <w:pageBreakBefore w:val="0"/>
        <w:widowControl w:val="0"/>
        <w:kinsoku/>
        <w:wordWrap/>
        <w:overflowPunct/>
        <w:topLinePunct w:val="0"/>
        <w:autoSpaceDE/>
        <w:autoSpaceDN/>
        <w:bidi w:val="0"/>
        <w:adjustRightInd/>
        <w:snapToGrid/>
        <w:spacing w:line="579" w:lineRule="exact"/>
        <w:ind w:firstLine="600"/>
        <w:jc w:val="both"/>
        <w:textAlignment w:val="auto"/>
        <w:rPr>
          <w:rFonts w:hint="eastAsia" w:ascii="仿宋_GB2312"/>
          <w:b w:val="0"/>
          <w:bCs w:val="0"/>
          <w:sz w:val="32"/>
          <w:szCs w:val="32"/>
          <w:u w:val="none"/>
        </w:rPr>
      </w:pPr>
      <w:r>
        <w:rPr>
          <w:rFonts w:hint="eastAsia" w:ascii="仿宋_GB2312"/>
          <w:b w:val="0"/>
          <w:bCs w:val="0"/>
          <w:sz w:val="32"/>
          <w:szCs w:val="32"/>
          <w:u w:val="none"/>
        </w:rPr>
        <w:t>本规划范围分市域和中心城区两个层次。</w:t>
      </w:r>
    </w:p>
    <w:p>
      <w:pPr>
        <w:keepNext w:val="0"/>
        <w:keepLines w:val="0"/>
        <w:pageBreakBefore w:val="0"/>
        <w:widowControl w:val="0"/>
        <w:kinsoku/>
        <w:wordWrap/>
        <w:overflowPunct/>
        <w:topLinePunct w:val="0"/>
        <w:autoSpaceDE/>
        <w:autoSpaceDN/>
        <w:bidi w:val="0"/>
        <w:adjustRightInd/>
        <w:snapToGrid/>
        <w:spacing w:line="579" w:lineRule="exact"/>
        <w:ind w:firstLine="600"/>
        <w:jc w:val="both"/>
        <w:textAlignment w:val="auto"/>
        <w:rPr>
          <w:rFonts w:hint="eastAsia" w:ascii="仿宋_GB2312"/>
          <w:b w:val="0"/>
          <w:bCs w:val="0"/>
          <w:sz w:val="32"/>
          <w:szCs w:val="32"/>
          <w:u w:val="none"/>
        </w:rPr>
      </w:pPr>
      <w:r>
        <w:rPr>
          <w:rFonts w:hint="eastAsia" w:ascii="仿宋_GB2312"/>
          <w:b w:val="0"/>
          <w:bCs w:val="0"/>
          <w:sz w:val="32"/>
          <w:szCs w:val="32"/>
          <w:u w:val="none"/>
        </w:rPr>
        <w:t>市域范围是指珠海市行政辖区的全域国土空间。中心城区范围包括香洲城区、南屏湾仔</w:t>
      </w:r>
      <w:r>
        <w:rPr>
          <w:rFonts w:hint="eastAsia"/>
          <w:b w:val="0"/>
          <w:bCs w:val="0"/>
          <w:sz w:val="32"/>
          <w:szCs w:val="32"/>
          <w:u w:val="none"/>
        </w:rPr>
        <w:t>地区</w:t>
      </w:r>
      <w:r>
        <w:rPr>
          <w:rFonts w:hint="eastAsia" w:ascii="仿宋_GB2312"/>
          <w:b w:val="0"/>
          <w:bCs w:val="0"/>
          <w:sz w:val="32"/>
          <w:szCs w:val="32"/>
          <w:u w:val="none"/>
        </w:rPr>
        <w:t>、“洪保十”地区</w:t>
      </w:r>
      <w:r>
        <w:rPr>
          <w:rStyle w:val="39"/>
          <w:b w:val="0"/>
          <w:bCs w:val="0"/>
          <w:sz w:val="32"/>
          <w:szCs w:val="32"/>
          <w:u w:val="none"/>
        </w:rPr>
        <w:footnoteReference w:id="0"/>
      </w:r>
      <w:r>
        <w:rPr>
          <w:rFonts w:hint="eastAsia" w:ascii="仿宋_GB2312"/>
          <w:b w:val="0"/>
          <w:bCs w:val="0"/>
          <w:sz w:val="32"/>
          <w:szCs w:val="32"/>
          <w:u w:val="none"/>
        </w:rPr>
        <w:t>，总面积约</w:t>
      </w:r>
      <w:r>
        <w:rPr>
          <w:b w:val="0"/>
          <w:bCs w:val="0"/>
          <w:sz w:val="32"/>
          <w:szCs w:val="32"/>
          <w:u w:val="none"/>
        </w:rPr>
        <w:t>187</w:t>
      </w:r>
      <w:r>
        <w:rPr>
          <w:rFonts w:ascii="仿宋_GB2312"/>
          <w:b w:val="0"/>
          <w:bCs w:val="0"/>
          <w:sz w:val="32"/>
          <w:szCs w:val="32"/>
          <w:u w:val="none"/>
        </w:rPr>
        <w:t>.</w:t>
      </w:r>
      <w:r>
        <w:rPr>
          <w:b w:val="0"/>
          <w:bCs w:val="0"/>
          <w:sz w:val="32"/>
          <w:szCs w:val="32"/>
          <w:u w:val="none"/>
        </w:rPr>
        <w:t>34</w:t>
      </w:r>
      <w:r>
        <w:rPr>
          <w:rFonts w:hint="eastAsia" w:ascii="仿宋_GB2312"/>
          <w:b w:val="0"/>
          <w:bCs w:val="0"/>
          <w:sz w:val="32"/>
          <w:szCs w:val="32"/>
          <w:u w:val="none"/>
        </w:rPr>
        <w:t>平方公里。</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jc w:val="both"/>
        <w:textAlignment w:val="auto"/>
        <w:rPr>
          <w:rFonts w:hint="eastAsia"/>
          <w:b w:val="0"/>
          <w:bCs w:val="0"/>
          <w:sz w:val="32"/>
          <w:szCs w:val="32"/>
          <w:u w:val="none"/>
        </w:rPr>
      </w:pPr>
      <w:bookmarkStart w:id="20" w:name="_Toc23792"/>
      <w:r>
        <w:rPr>
          <w:rFonts w:hint="eastAsia"/>
          <w:b w:val="0"/>
          <w:bCs w:val="0"/>
          <w:sz w:val="32"/>
          <w:szCs w:val="32"/>
          <w:u w:val="none"/>
        </w:rPr>
        <w:t>规划解释</w:t>
      </w:r>
      <w:bookmarkEnd w:id="20"/>
    </w:p>
    <w:p>
      <w:pPr>
        <w:keepNext w:val="0"/>
        <w:keepLines w:val="0"/>
        <w:pageBreakBefore w:val="0"/>
        <w:widowControl w:val="0"/>
        <w:kinsoku/>
        <w:wordWrap/>
        <w:overflowPunct/>
        <w:topLinePunct w:val="0"/>
        <w:autoSpaceDE/>
        <w:autoSpaceDN/>
        <w:bidi w:val="0"/>
        <w:adjustRightInd/>
        <w:snapToGrid/>
        <w:spacing w:line="579" w:lineRule="exact"/>
        <w:ind w:firstLine="600"/>
        <w:jc w:val="both"/>
        <w:textAlignment w:val="auto"/>
        <w:rPr>
          <w:rFonts w:hint="eastAsia" w:ascii="仿宋_GB2312"/>
          <w:b w:val="0"/>
          <w:bCs w:val="0"/>
          <w:sz w:val="32"/>
          <w:szCs w:val="32"/>
          <w:u w:val="none"/>
        </w:rPr>
      </w:pPr>
      <w:r>
        <w:rPr>
          <w:rFonts w:hint="eastAsia" w:ascii="仿宋_GB2312"/>
          <w:b w:val="0"/>
          <w:bCs w:val="0"/>
          <w:sz w:val="32"/>
          <w:szCs w:val="32"/>
          <w:u w:val="none"/>
        </w:rPr>
        <w:t>本规划由珠海市</w:t>
      </w:r>
      <w:r>
        <w:rPr>
          <w:rFonts w:hint="eastAsia"/>
          <w:b w:val="0"/>
          <w:bCs w:val="0"/>
          <w:sz w:val="32"/>
          <w:szCs w:val="32"/>
          <w:u w:val="none"/>
        </w:rPr>
        <w:t>人民政府</w:t>
      </w:r>
      <w:r>
        <w:rPr>
          <w:rFonts w:hint="eastAsia" w:ascii="仿宋_GB2312"/>
          <w:b w:val="0"/>
          <w:bCs w:val="0"/>
          <w:sz w:val="32"/>
          <w:szCs w:val="32"/>
          <w:u w:val="none"/>
        </w:rPr>
        <w:t>负责解释。</w:t>
      </w:r>
    </w:p>
    <w:p>
      <w:pPr>
        <w:keepNext w:val="0"/>
        <w:keepLines w:val="0"/>
        <w:pageBreakBefore w:val="0"/>
        <w:widowControl w:val="0"/>
        <w:kinsoku/>
        <w:wordWrap/>
        <w:overflowPunct/>
        <w:topLinePunct w:val="0"/>
        <w:autoSpaceDE/>
        <w:autoSpaceDN/>
        <w:bidi w:val="0"/>
        <w:adjustRightInd/>
        <w:snapToGrid/>
        <w:spacing w:line="579" w:lineRule="exact"/>
        <w:ind w:firstLine="600"/>
        <w:jc w:val="both"/>
        <w:textAlignment w:val="auto"/>
        <w:rPr>
          <w:rFonts w:hint="eastAsia" w:ascii="仿宋_GB2312"/>
          <w:b w:val="0"/>
          <w:bCs w:val="0"/>
          <w:sz w:val="32"/>
          <w:szCs w:val="32"/>
          <w:u w:val="none"/>
        </w:rPr>
      </w:pPr>
      <w:r>
        <w:rPr>
          <w:rFonts w:hint="eastAsia" w:ascii="仿宋_GB2312"/>
          <w:b w:val="0"/>
          <w:bCs w:val="0"/>
          <w:sz w:val="32"/>
          <w:szCs w:val="32"/>
          <w:u w:val="none"/>
        </w:rPr>
        <w:t>文本条文中下划线部分为规划的强制性内容。</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79" w:lineRule="exact"/>
        <w:textAlignment w:val="auto"/>
        <w:rPr>
          <w:rFonts w:hint="eastAsia" w:ascii="方正小标宋简体" w:hAnsi="方正小标宋简体" w:eastAsia="方正小标宋简体" w:cs="方正小标宋简体"/>
          <w:b w:val="0"/>
          <w:bCs w:val="0"/>
          <w:u w:val="none"/>
        </w:rPr>
      </w:pPr>
      <w:r>
        <w:rPr>
          <w:b w:val="0"/>
          <w:bCs w:val="0"/>
          <w:u w:val="none"/>
        </w:rPr>
        <w:br w:type="page"/>
      </w:r>
      <w:bookmarkStart w:id="21" w:name="_Toc14935"/>
      <w:r>
        <w:rPr>
          <w:rFonts w:hint="eastAsia" w:ascii="方正小标宋简体" w:hAnsi="方正小标宋简体" w:eastAsia="方正小标宋简体" w:cs="方正小标宋简体"/>
          <w:b w:val="0"/>
          <w:bCs w:val="0"/>
          <w:sz w:val="44"/>
          <w:szCs w:val="44"/>
          <w:u w:val="none"/>
        </w:rPr>
        <w:t>现状基础、存在问题和风险挑战</w:t>
      </w:r>
      <w:bookmarkEnd w:id="21"/>
    </w:p>
    <w:p>
      <w:pPr>
        <w:rPr>
          <w:b w:val="0"/>
          <w:bCs w:val="0"/>
          <w:u w:val="none"/>
        </w:rPr>
      </w:pP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22" w:name="_Toc8526"/>
      <w:r>
        <w:rPr>
          <w:rFonts w:hint="eastAsia"/>
          <w:b w:val="0"/>
          <w:bCs w:val="0"/>
          <w:sz w:val="32"/>
          <w:szCs w:val="32"/>
          <w:u w:val="none"/>
        </w:rPr>
        <w:t>现状基数</w:t>
      </w:r>
      <w:bookmarkEnd w:id="22"/>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珠海市</w:t>
      </w:r>
      <w:r>
        <w:rPr>
          <w:rFonts w:hint="eastAsia"/>
          <w:b w:val="0"/>
          <w:bCs w:val="0"/>
          <w:sz w:val="32"/>
          <w:szCs w:val="32"/>
          <w:u w:val="none"/>
        </w:rPr>
        <w:t>2020</w:t>
      </w:r>
      <w:r>
        <w:rPr>
          <w:rFonts w:hint="eastAsia" w:ascii="仿宋_GB2312"/>
          <w:b w:val="0"/>
          <w:bCs w:val="0"/>
          <w:sz w:val="32"/>
          <w:szCs w:val="32"/>
          <w:u w:val="none"/>
        </w:rPr>
        <w:t>年国土变更调查面积</w:t>
      </w:r>
      <w:r>
        <w:rPr>
          <w:rFonts w:hint="eastAsia"/>
          <w:b w:val="0"/>
          <w:bCs w:val="0"/>
          <w:sz w:val="32"/>
          <w:szCs w:val="32"/>
          <w:u w:val="none"/>
        </w:rPr>
        <w:t>1725</w:t>
      </w:r>
      <w:r>
        <w:rPr>
          <w:rFonts w:hint="eastAsia" w:ascii="仿宋_GB2312"/>
          <w:b w:val="0"/>
          <w:bCs w:val="0"/>
          <w:sz w:val="32"/>
          <w:szCs w:val="32"/>
          <w:u w:val="none"/>
        </w:rPr>
        <w:t>平方公里</w:t>
      </w:r>
      <w:r>
        <w:rPr>
          <w:rStyle w:val="39"/>
          <w:b w:val="0"/>
          <w:bCs w:val="0"/>
          <w:sz w:val="32"/>
          <w:szCs w:val="32"/>
          <w:u w:val="none"/>
        </w:rPr>
        <w:footnoteReference w:id="1"/>
      </w:r>
      <w:r>
        <w:rPr>
          <w:rFonts w:ascii="仿宋_GB2312"/>
          <w:b w:val="0"/>
          <w:bCs w:val="0"/>
          <w:sz w:val="32"/>
          <w:szCs w:val="32"/>
          <w:u w:val="none"/>
        </w:rPr>
        <w:t>。</w:t>
      </w:r>
      <w:r>
        <w:rPr>
          <w:rFonts w:hint="eastAsia" w:ascii="仿宋_GB2312"/>
          <w:b w:val="0"/>
          <w:bCs w:val="0"/>
          <w:sz w:val="32"/>
          <w:szCs w:val="32"/>
          <w:u w:val="none"/>
        </w:rPr>
        <w:t>珠海市海岛数量共计</w:t>
      </w:r>
      <w:r>
        <w:rPr>
          <w:rFonts w:hint="eastAsia"/>
          <w:b w:val="0"/>
          <w:bCs w:val="0"/>
          <w:sz w:val="32"/>
          <w:szCs w:val="32"/>
          <w:u w:val="none"/>
        </w:rPr>
        <w:t>262</w:t>
      </w:r>
      <w:r>
        <w:rPr>
          <w:rFonts w:hint="eastAsia" w:ascii="仿宋_GB2312"/>
          <w:b w:val="0"/>
          <w:bCs w:val="0"/>
          <w:sz w:val="32"/>
          <w:szCs w:val="32"/>
          <w:u w:val="none"/>
        </w:rPr>
        <w:t>个，其中有居民海岛</w:t>
      </w:r>
      <w:r>
        <w:rPr>
          <w:rFonts w:hint="eastAsia"/>
          <w:b w:val="0"/>
          <w:bCs w:val="0"/>
          <w:sz w:val="32"/>
          <w:szCs w:val="32"/>
          <w:u w:val="none"/>
        </w:rPr>
        <w:t>10</w:t>
      </w:r>
      <w:r>
        <w:rPr>
          <w:rFonts w:hint="eastAsia" w:ascii="仿宋_GB2312"/>
          <w:b w:val="0"/>
          <w:bCs w:val="0"/>
          <w:sz w:val="32"/>
          <w:szCs w:val="32"/>
          <w:u w:val="none"/>
        </w:rPr>
        <w:t>个，无居民海岛为</w:t>
      </w:r>
      <w:r>
        <w:rPr>
          <w:rFonts w:hint="eastAsia"/>
          <w:b w:val="0"/>
          <w:bCs w:val="0"/>
          <w:sz w:val="32"/>
          <w:szCs w:val="32"/>
          <w:u w:val="none"/>
        </w:rPr>
        <w:t>252</w:t>
      </w:r>
      <w:r>
        <w:rPr>
          <w:rFonts w:hint="eastAsia" w:ascii="仿宋_GB2312"/>
          <w:b w:val="0"/>
          <w:bCs w:val="0"/>
          <w:sz w:val="32"/>
          <w:szCs w:val="32"/>
          <w:u w:val="none"/>
        </w:rPr>
        <w:t>个。</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cs="Times New Roman"/>
          <w:b w:val="0"/>
          <w:bCs w:val="0"/>
          <w:kern w:val="0"/>
          <w:sz w:val="32"/>
          <w:szCs w:val="32"/>
          <w:u w:val="none"/>
        </w:rPr>
      </w:pPr>
      <w:r>
        <w:rPr>
          <w:rFonts w:hint="eastAsia" w:ascii="仿宋_GB2312" w:cs="Times New Roman"/>
          <w:b w:val="0"/>
          <w:bCs w:val="0"/>
          <w:kern w:val="0"/>
          <w:sz w:val="32"/>
          <w:szCs w:val="32"/>
          <w:u w:val="none"/>
        </w:rPr>
        <w:t>珠海市第七次人口普查</w:t>
      </w:r>
      <w:r>
        <w:rPr>
          <w:rFonts w:hint="eastAsia"/>
          <w:b w:val="0"/>
          <w:bCs w:val="0"/>
          <w:sz w:val="32"/>
          <w:szCs w:val="32"/>
          <w:u w:val="none"/>
        </w:rPr>
        <w:t>常住</w:t>
      </w:r>
      <w:r>
        <w:rPr>
          <w:rFonts w:hint="eastAsia" w:ascii="仿宋_GB2312" w:cs="Times New Roman"/>
          <w:b w:val="0"/>
          <w:bCs w:val="0"/>
          <w:kern w:val="0"/>
          <w:sz w:val="32"/>
          <w:szCs w:val="32"/>
          <w:u w:val="none"/>
        </w:rPr>
        <w:t>人口</w:t>
      </w:r>
      <w:r>
        <w:rPr>
          <w:rFonts w:hint="eastAsia" w:cs="Times New Roman"/>
          <w:b w:val="0"/>
          <w:bCs w:val="0"/>
          <w:kern w:val="0"/>
          <w:sz w:val="32"/>
          <w:szCs w:val="32"/>
          <w:u w:val="none"/>
        </w:rPr>
        <w:t>2</w:t>
      </w:r>
      <w:r>
        <w:rPr>
          <w:rFonts w:cs="Times New Roman"/>
          <w:b w:val="0"/>
          <w:bCs w:val="0"/>
          <w:kern w:val="0"/>
          <w:sz w:val="32"/>
          <w:szCs w:val="32"/>
          <w:u w:val="none"/>
        </w:rPr>
        <w:t>4</w:t>
      </w:r>
      <w:r>
        <w:rPr>
          <w:rFonts w:hint="eastAsia" w:cs="Times New Roman"/>
          <w:b w:val="0"/>
          <w:bCs w:val="0"/>
          <w:kern w:val="0"/>
          <w:sz w:val="32"/>
          <w:szCs w:val="32"/>
          <w:u w:val="none"/>
        </w:rPr>
        <w:t>3</w:t>
      </w:r>
      <w:r>
        <w:rPr>
          <w:rFonts w:hint="eastAsia" w:ascii="仿宋_GB2312" w:cs="Times New Roman"/>
          <w:b w:val="0"/>
          <w:bCs w:val="0"/>
          <w:kern w:val="0"/>
          <w:sz w:val="32"/>
          <w:szCs w:val="32"/>
          <w:u w:val="none"/>
        </w:rPr>
        <w:t>.</w:t>
      </w:r>
      <w:r>
        <w:rPr>
          <w:rFonts w:hint="eastAsia" w:cs="Times New Roman"/>
          <w:b w:val="0"/>
          <w:bCs w:val="0"/>
          <w:kern w:val="0"/>
          <w:sz w:val="32"/>
          <w:szCs w:val="32"/>
          <w:u w:val="none"/>
        </w:rPr>
        <w:t>96</w:t>
      </w:r>
      <w:r>
        <w:rPr>
          <w:rFonts w:hint="eastAsia" w:ascii="仿宋_GB2312" w:cs="Times New Roman"/>
          <w:b w:val="0"/>
          <w:bCs w:val="0"/>
          <w:kern w:val="0"/>
          <w:sz w:val="32"/>
          <w:szCs w:val="32"/>
          <w:u w:val="none"/>
        </w:rPr>
        <w:t>万人，城镇人口</w:t>
      </w:r>
      <w:r>
        <w:rPr>
          <w:rFonts w:hint="eastAsia" w:cs="Times New Roman"/>
          <w:b w:val="0"/>
          <w:bCs w:val="0"/>
          <w:kern w:val="0"/>
          <w:sz w:val="32"/>
          <w:szCs w:val="32"/>
          <w:u w:val="none"/>
        </w:rPr>
        <w:t>2</w:t>
      </w:r>
      <w:r>
        <w:rPr>
          <w:rFonts w:cs="Times New Roman"/>
          <w:b w:val="0"/>
          <w:bCs w:val="0"/>
          <w:kern w:val="0"/>
          <w:sz w:val="32"/>
          <w:szCs w:val="32"/>
          <w:u w:val="none"/>
        </w:rPr>
        <w:t>2</w:t>
      </w:r>
      <w:r>
        <w:rPr>
          <w:rFonts w:hint="eastAsia" w:cs="Times New Roman"/>
          <w:b w:val="0"/>
          <w:bCs w:val="0"/>
          <w:kern w:val="0"/>
          <w:sz w:val="32"/>
          <w:szCs w:val="32"/>
          <w:u w:val="none"/>
        </w:rPr>
        <w:t>0</w:t>
      </w:r>
      <w:r>
        <w:rPr>
          <w:rFonts w:hint="eastAsia" w:ascii="仿宋_GB2312" w:cs="Times New Roman"/>
          <w:b w:val="0"/>
          <w:bCs w:val="0"/>
          <w:kern w:val="0"/>
          <w:sz w:val="32"/>
          <w:szCs w:val="32"/>
          <w:u w:val="none"/>
        </w:rPr>
        <w:t>.</w:t>
      </w:r>
      <w:r>
        <w:rPr>
          <w:rFonts w:hint="eastAsia" w:cs="Times New Roman"/>
          <w:b w:val="0"/>
          <w:bCs w:val="0"/>
          <w:kern w:val="0"/>
          <w:sz w:val="32"/>
          <w:szCs w:val="32"/>
          <w:u w:val="none"/>
        </w:rPr>
        <w:t>71</w:t>
      </w:r>
      <w:r>
        <w:rPr>
          <w:rFonts w:hint="eastAsia" w:ascii="仿宋_GB2312" w:cs="Times New Roman"/>
          <w:b w:val="0"/>
          <w:bCs w:val="0"/>
          <w:kern w:val="0"/>
          <w:sz w:val="32"/>
          <w:szCs w:val="32"/>
          <w:u w:val="none"/>
        </w:rPr>
        <w:t>万人，常住人口城镇化率超过</w:t>
      </w:r>
      <w:r>
        <w:rPr>
          <w:rFonts w:hint="eastAsia" w:cs="Times New Roman"/>
          <w:b w:val="0"/>
          <w:bCs w:val="0"/>
          <w:kern w:val="0"/>
          <w:sz w:val="32"/>
          <w:szCs w:val="32"/>
          <w:u w:val="none"/>
        </w:rPr>
        <w:t>90</w:t>
      </w:r>
      <w:r>
        <w:rPr>
          <w:rFonts w:ascii="仿宋_GB2312" w:cs="Times New Roman"/>
          <w:b w:val="0"/>
          <w:bCs w:val="0"/>
          <w:kern w:val="0"/>
          <w:sz w:val="32"/>
          <w:szCs w:val="32"/>
          <w:u w:val="none"/>
        </w:rPr>
        <w:t>%</w:t>
      </w:r>
      <w:r>
        <w:rPr>
          <w:rFonts w:hint="eastAsia" w:ascii="仿宋_GB2312" w:cs="Times New Roman"/>
          <w:b w:val="0"/>
          <w:bCs w:val="0"/>
          <w:kern w:val="0"/>
          <w:sz w:val="32"/>
          <w:szCs w:val="32"/>
          <w:u w:val="none"/>
        </w:rPr>
        <w:t>。</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23" w:name="_Toc130822888"/>
      <w:bookmarkStart w:id="24" w:name="_Toc17940"/>
      <w:r>
        <w:rPr>
          <w:rFonts w:hint="eastAsia"/>
          <w:b w:val="0"/>
          <w:bCs w:val="0"/>
          <w:sz w:val="32"/>
          <w:szCs w:val="32"/>
          <w:u w:val="none"/>
        </w:rPr>
        <w:t>资源环境承载能力和国土空间开发适宜性评价</w:t>
      </w:r>
      <w:bookmarkEnd w:id="23"/>
      <w:bookmarkEnd w:id="24"/>
      <w:r>
        <w:rPr>
          <w:rFonts w:hint="eastAsia"/>
          <w:b w:val="0"/>
          <w:bCs w:val="0"/>
          <w:sz w:val="32"/>
          <w:szCs w:val="32"/>
          <w:u w:val="none"/>
        </w:rPr>
        <w:t xml:space="preserve"> </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生态保护重要性。陆域生态保护极重要区主要分布在凤凰山、黑白面将军山、锅盖栋山、黄杨山、拦浪山、板樟山等自然山体。海域生态保护极重要区主要分布在虎跳门、鸡啼门、磨刀门等西江河口地区，以及中华白海豚国家级自然保护区、淇澳-担杆岛自然保护区等各级自然保护区。</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城镇建设适宜性与承载能力。珠海市城镇开发适宜区主要分布在滨海冲积平原和丘陵地带。珠海市现状建设用地约</w:t>
      </w:r>
      <w:r>
        <w:rPr>
          <w:rFonts w:hint="eastAsia" w:cs="Times New Roman"/>
          <w:b w:val="0"/>
          <w:bCs w:val="0"/>
          <w:kern w:val="0"/>
          <w:sz w:val="32"/>
          <w:szCs w:val="32"/>
          <w:u w:val="none"/>
        </w:rPr>
        <w:t>440</w:t>
      </w:r>
      <w:r>
        <w:rPr>
          <w:rFonts w:hint="eastAsia" w:ascii="仿宋_GB2312" w:hAnsi="仿宋" w:cs="Times New Roman"/>
          <w:b w:val="0"/>
          <w:bCs w:val="0"/>
          <w:kern w:val="0"/>
          <w:sz w:val="32"/>
          <w:szCs w:val="32"/>
          <w:u w:val="none"/>
        </w:rPr>
        <w:t>.</w:t>
      </w:r>
      <w:r>
        <w:rPr>
          <w:rFonts w:cs="Times New Roman"/>
          <w:b w:val="0"/>
          <w:bCs w:val="0"/>
          <w:kern w:val="0"/>
          <w:sz w:val="32"/>
          <w:szCs w:val="32"/>
          <w:u w:val="none"/>
        </w:rPr>
        <w:t>41</w:t>
      </w:r>
      <w:r>
        <w:rPr>
          <w:rFonts w:hint="eastAsia" w:ascii="仿宋_GB2312" w:hAnsi="仿宋" w:cs="Times New Roman"/>
          <w:b w:val="0"/>
          <w:bCs w:val="0"/>
          <w:kern w:val="0"/>
          <w:sz w:val="32"/>
          <w:szCs w:val="32"/>
          <w:u w:val="none"/>
        </w:rPr>
        <w:t>平方公里，开发强度约</w:t>
      </w:r>
      <w:r>
        <w:rPr>
          <w:rFonts w:hint="eastAsia" w:cs="Times New Roman"/>
          <w:b w:val="0"/>
          <w:bCs w:val="0"/>
          <w:kern w:val="0"/>
          <w:sz w:val="32"/>
          <w:szCs w:val="32"/>
          <w:u w:val="none"/>
        </w:rPr>
        <w:t>25</w:t>
      </w:r>
      <w:r>
        <w:rPr>
          <w:rFonts w:hint="eastAsia" w:ascii="仿宋_GB2312" w:hAnsi="仿宋" w:cs="Times New Roman"/>
          <w:b w:val="0"/>
          <w:bCs w:val="0"/>
          <w:kern w:val="0"/>
          <w:sz w:val="32"/>
          <w:szCs w:val="32"/>
          <w:u w:val="none"/>
        </w:rPr>
        <w:t>.</w:t>
      </w:r>
      <w:r>
        <w:rPr>
          <w:rFonts w:hint="eastAsia" w:cs="Times New Roman"/>
          <w:b w:val="0"/>
          <w:bCs w:val="0"/>
          <w:kern w:val="0"/>
          <w:sz w:val="32"/>
          <w:szCs w:val="32"/>
          <w:u w:val="none"/>
        </w:rPr>
        <w:t>5</w:t>
      </w:r>
      <w:r>
        <w:rPr>
          <w:rFonts w:hint="eastAsia" w:ascii="仿宋_GB2312" w:hAnsi="仿宋" w:cs="Times New Roman"/>
          <w:b w:val="0"/>
          <w:bCs w:val="0"/>
          <w:kern w:val="0"/>
          <w:sz w:val="32"/>
          <w:szCs w:val="32"/>
          <w:u w:val="none"/>
        </w:rPr>
        <w:t>%,剩余城镇建设潜力空间呈零散分布，主要分布在鹤洲、金湾、高栏港等地区。</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农业生产适宜性与承载能力。综合考虑地形</w:t>
      </w:r>
      <w:r>
        <w:rPr>
          <w:rFonts w:hint="eastAsia"/>
          <w:b w:val="0"/>
          <w:bCs w:val="0"/>
          <w:sz w:val="32"/>
          <w:szCs w:val="32"/>
          <w:u w:val="none"/>
        </w:rPr>
        <w:t>地貌</w:t>
      </w:r>
      <w:r>
        <w:rPr>
          <w:rFonts w:hint="eastAsia" w:ascii="仿宋_GB2312" w:hAnsi="仿宋" w:cs="Times New Roman"/>
          <w:b w:val="0"/>
          <w:bCs w:val="0"/>
          <w:kern w:val="0"/>
          <w:sz w:val="32"/>
          <w:szCs w:val="32"/>
          <w:u w:val="none"/>
        </w:rPr>
        <w:t>、土壤条件等因素，珠海市种植业生产适宜区主要分布在斗门、金湾等地区。陆域渔业养殖适宜区主要分布在斗门，海洋渔业养殖适宜区主要分布在珠海南部海域。</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hAnsi="仿宋" w:cs="Times New Roman"/>
          <w:b w:val="0"/>
          <w:bCs w:val="0"/>
          <w:kern w:val="0"/>
          <w:sz w:val="32"/>
          <w:szCs w:val="32"/>
          <w:u w:val="none"/>
        </w:rPr>
        <w:t>海域利用适宜性评价。港口航运适宜区主要分布在珠江出海口海域和高栏港南部海域；渔业用海适宜区主要分布在珠海海域南部；海上风电适宜区主要分布在万山海洋开发试验区海域和珠海海域西南部；游憩用海适宜区主要分布在珠海东部近岸海域。</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25" w:name="_Toc1327"/>
      <w:r>
        <w:rPr>
          <w:b w:val="0"/>
          <w:bCs w:val="0"/>
          <w:sz w:val="32"/>
          <w:szCs w:val="32"/>
          <w:u w:val="none"/>
        </w:rPr>
        <w:t>国土空间开发保护现状评估</w:t>
      </w:r>
      <w:bookmarkEnd w:id="25"/>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国土空间开发建设水平。“中密度”开发确保较高开发建设水平与宜人城市空间平衡协调，但规模总量和开发质量仍待提升。单位</w:t>
      </w:r>
      <w:r>
        <w:rPr>
          <w:rFonts w:hint="eastAsia"/>
          <w:b w:val="0"/>
          <w:bCs w:val="0"/>
          <w:sz w:val="32"/>
          <w:szCs w:val="32"/>
          <w:u w:val="none"/>
        </w:rPr>
        <w:t>地区生产总值</w:t>
      </w:r>
      <w:r>
        <w:rPr>
          <w:rFonts w:hint="eastAsia" w:ascii="仿宋_GB2312"/>
          <w:b w:val="0"/>
          <w:bCs w:val="0"/>
          <w:sz w:val="32"/>
          <w:szCs w:val="32"/>
          <w:u w:val="none"/>
        </w:rPr>
        <w:t>水耗、能耗逐年下降，地耗保持稳定。工业用地地均增加值不断提升，国土空间开发利用水平居全省前列。产业发展不断提速，经济实力不断增强，创新水平不断上升，宜居度和幸福感在全国名列前茅。但是城市能级量级不高，低效用地提质增效需求迫切。</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国土空间开发保护格局。适应核心城市发展的大城市空间格局初步建立，生态宜居品牌仍待提升。东西双城架构初步</w:t>
      </w:r>
      <w:r>
        <w:rPr>
          <w:rFonts w:hint="eastAsia"/>
          <w:b w:val="0"/>
          <w:bCs w:val="0"/>
          <w:sz w:val="32"/>
          <w:szCs w:val="32"/>
          <w:u w:val="none"/>
        </w:rPr>
        <w:t>成型</w:t>
      </w:r>
      <w:r>
        <w:rPr>
          <w:rFonts w:hint="eastAsia" w:ascii="仿宋_GB2312"/>
          <w:b w:val="0"/>
          <w:bCs w:val="0"/>
          <w:sz w:val="32"/>
          <w:szCs w:val="32"/>
          <w:u w:val="none"/>
        </w:rPr>
        <w:t>，陆海空间统筹不断优化。“组团式发展”构建了生态型空间格局，城市组团联系不断加强。“显山露水”塑造了滨海城市特色，形成了“山海相拥、陆岛相望、城田相依”城市意象。“立法护航”保障了良好生态环境，大陆自然海岸线、蓝绿空间、自然保护地等生态空间得到有效保护，森林覆盖率维持稳定，绿化覆盖率、重要江河湖泊水功能区水质达标率等维持较高水平，空气质量优良天数居全国前列。但是需要在更高层面、更宽领域进一步提升特有的生态宜居品牌优势。</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国土空间功能品质建设。珠江口西岸核心城市功能不断增强，但是工业生产和协作中心功能辐射带动能力不足。公共服务不断优化，区域不平衡现象不断缩小，但是公共服务仍有短板，教育、医疗等优质资源供给仍需加强，部分保障房与配套设施的空间分布仍然存在错位。</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国土空间发展支撑体系。初步形成“海陆空铁口岸”要素齐全的综合交通系统，但是末端格局仍需改变。已建成区域核心枢纽港口、珠江口西岸第一大航空枢纽、港珠澳大桥、“三横六纵”区域路网、广珠城际、广珠铁路，通关量居全国之首的口岸等对外顺畅联系的交通设施体系。但是，机场、港口、港珠澳大桥等具有区域比较优势的交通基础设施未能充分发挥作用，珠江口西岸轨道交通一体化尚未形成，高铁建设亟需加快，与珠江口东岸公路直通通道仍需增加。市政公用基础设施不断完善和优化，但是地下管网建设亟需加快，水资源保障能力有待提高，排水防涝能力仍需加强，生命线系统抗风险能力有待提高，防</w:t>
      </w:r>
      <w:r>
        <w:rPr>
          <w:rFonts w:hint="eastAsia"/>
          <w:b w:val="0"/>
          <w:bCs w:val="0"/>
          <w:sz w:val="32"/>
          <w:szCs w:val="32"/>
          <w:u w:val="none"/>
        </w:rPr>
        <w:t>台风</w:t>
      </w:r>
      <w:r>
        <w:rPr>
          <w:rFonts w:hint="eastAsia" w:ascii="仿宋_GB2312"/>
          <w:b w:val="0"/>
          <w:bCs w:val="0"/>
          <w:sz w:val="32"/>
          <w:szCs w:val="32"/>
          <w:u w:val="none"/>
        </w:rPr>
        <w:t>、风暴潮等安全韧性设施有待强化。</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国土空间开发区域协作。澳珠合作不断深化，澳珠极点建设有待加强。横琴粤澳深度合作区建设标志着澳珠已走向深度合作，但是澳珠仍需在基础设施、产业、</w:t>
      </w:r>
      <w:r>
        <w:rPr>
          <w:rFonts w:hint="eastAsia"/>
          <w:b w:val="0"/>
          <w:bCs w:val="0"/>
          <w:sz w:val="32"/>
          <w:szCs w:val="32"/>
          <w:u w:val="none"/>
        </w:rPr>
        <w:t>交通</w:t>
      </w:r>
      <w:r>
        <w:rPr>
          <w:rFonts w:hint="eastAsia" w:ascii="仿宋_GB2312"/>
          <w:b w:val="0"/>
          <w:bCs w:val="0"/>
          <w:sz w:val="32"/>
          <w:szCs w:val="32"/>
          <w:u w:val="none"/>
        </w:rPr>
        <w:t>、旅游等方面加强协作，进一步强化澳珠极点的辐射带动作用。珠江口西岸一体化发展不断优化，与中山、江门等相邻城市在跨界交通和市政设施互联互通、城市功能和产业协同、要素市场一体化、生态环境共保共育等方面仍需不断提升。与“香港-深圳”发展极和“广州-佛山”发展极的区域协作不断增强，交通联系和产业合作有待加快。缺少与深圳的直连通道，与广州、佛山连通有待加强，三大发展极协同合作有待深化。</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26" w:name="_Toc20552"/>
      <w:r>
        <w:rPr>
          <w:b w:val="0"/>
          <w:bCs w:val="0"/>
          <w:sz w:val="32"/>
          <w:szCs w:val="32"/>
          <w:u w:val="none"/>
        </w:rPr>
        <w:t>国土空间</w:t>
      </w:r>
      <w:r>
        <w:rPr>
          <w:rFonts w:hint="eastAsia"/>
          <w:b w:val="0"/>
          <w:bCs w:val="0"/>
          <w:sz w:val="32"/>
          <w:szCs w:val="32"/>
          <w:u w:val="none"/>
        </w:rPr>
        <w:t>开发</w:t>
      </w:r>
      <w:r>
        <w:rPr>
          <w:b w:val="0"/>
          <w:bCs w:val="0"/>
          <w:sz w:val="32"/>
          <w:szCs w:val="32"/>
          <w:u w:val="none"/>
        </w:rPr>
        <w:t>保护风险评估</w:t>
      </w:r>
      <w:bookmarkEnd w:id="26"/>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自然灾害风险。在全球气候变暖、极端气候事件多发频发的背景下，台风灾害是影响珠海最严重的自然灾害之一，沿海区域风暴潮灾害风险较高，洪涝灾害、地质灾害总体易发。珠海及附近地区存在中强地震发生的地震构造背景，是国家级地震重点监视防御区，地震灾害风险较高。</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事故灾难及公共卫生事件风险。珠海处于快速发展期，高层建筑、城市综合体、交通枢纽等数量快速增加，高栏港等区域危险化学品存储加工存储设施集中，事故灾难防治任务艰巨；外来人口多、流动性大，公共卫生事件风险较高。</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资源、能源保障风险。珠海主要河流型水源地受咸潮上溯影响日趋严重，威胁澳珠供水安全，油、气及粮食自给率偏低，资源、能源保障存在风险。</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79" w:lineRule="exact"/>
        <w:textAlignment w:val="auto"/>
        <w:rPr>
          <w:b w:val="0"/>
          <w:bCs w:val="0"/>
          <w:sz w:val="32"/>
          <w:szCs w:val="32"/>
          <w:u w:val="none"/>
        </w:rPr>
      </w:pPr>
      <w:r>
        <w:rPr>
          <w:b w:val="0"/>
          <w:bCs w:val="0"/>
          <w:u w:val="none"/>
        </w:rPr>
        <w:br w:type="page"/>
      </w:r>
      <w:bookmarkStart w:id="27" w:name="_Toc25517"/>
      <w:r>
        <w:rPr>
          <w:rFonts w:hint="eastAsia" w:ascii="方正小标宋简体" w:hAnsi="方正小标宋简体" w:eastAsia="方正小标宋简体" w:cs="方正小标宋简体"/>
          <w:b w:val="0"/>
          <w:bCs w:val="0"/>
          <w:sz w:val="44"/>
          <w:szCs w:val="44"/>
          <w:u w:val="none"/>
        </w:rPr>
        <w:t>城市性质和目标战略</w:t>
      </w:r>
      <w:bookmarkEnd w:id="27"/>
    </w:p>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28" w:name="_Toc24991"/>
      <w:r>
        <w:rPr>
          <w:b w:val="0"/>
          <w:bCs w:val="0"/>
          <w:sz w:val="32"/>
          <w:szCs w:val="32"/>
          <w:u w:val="none"/>
        </w:rPr>
        <w:t>目标愿景</w:t>
      </w:r>
      <w:bookmarkEnd w:id="28"/>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到</w:t>
      </w:r>
      <w:r>
        <w:rPr>
          <w:rFonts w:hint="eastAsia"/>
          <w:b w:val="0"/>
          <w:bCs w:val="0"/>
          <w:sz w:val="32"/>
          <w:szCs w:val="32"/>
          <w:u w:val="none"/>
        </w:rPr>
        <w:t>2025</w:t>
      </w:r>
      <w:r>
        <w:rPr>
          <w:rFonts w:hint="eastAsia" w:ascii="仿宋_GB2312"/>
          <w:b w:val="0"/>
          <w:bCs w:val="0"/>
          <w:sz w:val="32"/>
          <w:szCs w:val="32"/>
          <w:u w:val="none"/>
        </w:rPr>
        <w:t>年，全力建设西部市级综合服务中心，城市东西部不均衡问题得到明显改善。建成区域重要门户枢纽、新发展格局重要节点城市、创新发展先行区、生态文明新典范、民生幸福样板城市</w:t>
      </w:r>
      <w:r>
        <w:rPr>
          <w:rStyle w:val="39"/>
          <w:b w:val="0"/>
          <w:bCs w:val="0"/>
          <w:sz w:val="32"/>
          <w:szCs w:val="32"/>
          <w:u w:val="none"/>
        </w:rPr>
        <w:footnoteReference w:id="2"/>
      </w:r>
      <w:r>
        <w:rPr>
          <w:rFonts w:hint="eastAsia" w:ascii="仿宋_GB2312"/>
          <w:b w:val="0"/>
          <w:bCs w:val="0"/>
          <w:sz w:val="32"/>
          <w:szCs w:val="32"/>
          <w:u w:val="none"/>
        </w:rPr>
        <w:t>。</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到</w:t>
      </w:r>
      <w:r>
        <w:rPr>
          <w:rFonts w:hint="eastAsia"/>
          <w:b w:val="0"/>
          <w:bCs w:val="0"/>
          <w:sz w:val="32"/>
          <w:szCs w:val="32"/>
          <w:u w:val="none"/>
        </w:rPr>
        <w:t>2035</w:t>
      </w:r>
      <w:r>
        <w:rPr>
          <w:rFonts w:hint="eastAsia" w:ascii="仿宋_GB2312"/>
          <w:b w:val="0"/>
          <w:bCs w:val="0"/>
          <w:sz w:val="32"/>
          <w:szCs w:val="32"/>
          <w:u w:val="none"/>
        </w:rPr>
        <w:t>年，形成“一主一副、一特一优、若干组团”的全域城镇空间格局。城市综合竞争力大幅提升，澳珠极点带动作用显著增强，与澳门实现深度融合发展，建成</w:t>
      </w:r>
      <w:r>
        <w:rPr>
          <w:rFonts w:hint="eastAsia"/>
          <w:b w:val="0"/>
          <w:bCs w:val="0"/>
          <w:sz w:val="32"/>
          <w:szCs w:val="32"/>
          <w:u w:val="none"/>
        </w:rPr>
        <w:t>民生</w:t>
      </w:r>
      <w:r>
        <w:rPr>
          <w:rFonts w:hint="eastAsia" w:ascii="仿宋_GB2312"/>
          <w:b w:val="0"/>
          <w:bCs w:val="0"/>
          <w:sz w:val="32"/>
          <w:szCs w:val="32"/>
          <w:u w:val="none"/>
        </w:rPr>
        <w:t>幸福样板城市、知名生态文明城市和社会主义现代化国际化经济特区</w:t>
      </w:r>
      <w:r>
        <w:rPr>
          <w:rStyle w:val="39"/>
          <w:b w:val="0"/>
          <w:bCs w:val="0"/>
          <w:sz w:val="32"/>
          <w:szCs w:val="32"/>
          <w:u w:val="none"/>
        </w:rPr>
        <w:footnoteReference w:id="3"/>
      </w:r>
      <w:r>
        <w:rPr>
          <w:rFonts w:hint="eastAsia" w:ascii="仿宋_GB2312"/>
          <w:b w:val="0"/>
          <w:bCs w:val="0"/>
          <w:sz w:val="32"/>
          <w:szCs w:val="32"/>
          <w:u w:val="none"/>
        </w:rPr>
        <w:t>，基本实现社会主义现代化，高质量发展成为全国典范</w:t>
      </w:r>
      <w:r>
        <w:rPr>
          <w:rStyle w:val="39"/>
          <w:b w:val="0"/>
          <w:bCs w:val="0"/>
          <w:sz w:val="32"/>
          <w:szCs w:val="32"/>
          <w:u w:val="none"/>
        </w:rPr>
        <w:footnoteReference w:id="4"/>
      </w:r>
      <w:r>
        <w:rPr>
          <w:rFonts w:hint="eastAsia" w:ascii="仿宋_GB2312"/>
          <w:b w:val="0"/>
          <w:bCs w:val="0"/>
          <w:sz w:val="32"/>
          <w:szCs w:val="32"/>
          <w:u w:val="none"/>
        </w:rPr>
        <w:t>。</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到</w:t>
      </w:r>
      <w:r>
        <w:rPr>
          <w:rFonts w:hint="eastAsia"/>
          <w:b w:val="0"/>
          <w:bCs w:val="0"/>
          <w:sz w:val="32"/>
          <w:szCs w:val="32"/>
          <w:u w:val="none"/>
        </w:rPr>
        <w:t>2050</w:t>
      </w:r>
      <w:r>
        <w:rPr>
          <w:rFonts w:hint="eastAsia" w:ascii="仿宋_GB2312"/>
          <w:b w:val="0"/>
          <w:bCs w:val="0"/>
          <w:sz w:val="32"/>
          <w:szCs w:val="32"/>
          <w:u w:val="none"/>
        </w:rPr>
        <w:t>年，基本形成“一核两心六片”的城市结构。在物质文明、政治文明、精神文明、社会文明、生态文明五个方面力争成为全球样板，建成向全世界展示中国特色社会主义制度巨大优越性的重要窗口、走在全面建设社会主义现代化国家新征程最前列的代表性城市</w:t>
      </w:r>
      <w:r>
        <w:rPr>
          <w:rStyle w:val="39"/>
          <w:b w:val="0"/>
          <w:bCs w:val="0"/>
          <w:sz w:val="32"/>
          <w:szCs w:val="32"/>
          <w:u w:val="none"/>
        </w:rPr>
        <w:footnoteReference w:id="5"/>
      </w:r>
      <w:r>
        <w:rPr>
          <w:rFonts w:hint="eastAsia" w:ascii="仿宋_GB2312"/>
          <w:b w:val="0"/>
          <w:bCs w:val="0"/>
          <w:sz w:val="32"/>
          <w:szCs w:val="32"/>
          <w:u w:val="none"/>
        </w:rPr>
        <w:t>。</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9" w:name="_Toc119682452"/>
      <w:bookmarkEnd w:id="29"/>
      <w:bookmarkStart w:id="30" w:name="_Toc119682051"/>
      <w:bookmarkEnd w:id="30"/>
      <w:bookmarkStart w:id="31" w:name="_Toc15576"/>
      <w:r>
        <w:rPr>
          <w:rFonts w:hint="eastAsia"/>
          <w:b w:val="0"/>
          <w:bCs w:val="0"/>
          <w:sz w:val="32"/>
          <w:szCs w:val="32"/>
          <w:u w:val="none"/>
        </w:rPr>
        <w:t>城市性质</w:t>
      </w:r>
      <w:bookmarkEnd w:id="31"/>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新时代中国特色社会主义现代化国际化经济特区。坚持</w:t>
      </w:r>
      <w:r>
        <w:rPr>
          <w:rFonts w:hint="eastAsia"/>
          <w:b w:val="0"/>
          <w:bCs w:val="0"/>
          <w:sz w:val="32"/>
          <w:szCs w:val="32"/>
          <w:u w:val="none"/>
        </w:rPr>
        <w:t>经济特区40</w:t>
      </w:r>
      <w:r>
        <w:rPr>
          <w:rFonts w:hint="eastAsia" w:ascii="仿宋_GB2312"/>
          <w:b w:val="0"/>
          <w:bCs w:val="0"/>
          <w:sz w:val="32"/>
          <w:szCs w:val="32"/>
          <w:u w:val="none"/>
        </w:rPr>
        <w:t>余年改革开放、创新发展积累的“十条宝贵经验”，践行全面深化改革开放新使命，推动形成澳珠全方位合作新局面，打造科技创新新高地，增强产业发展新动能，打造全国性综合交通新枢纽和生态文明新典范，建设宜居幸福新都市</w:t>
      </w:r>
      <w:r>
        <w:rPr>
          <w:rStyle w:val="39"/>
          <w:b w:val="0"/>
          <w:bCs w:val="0"/>
          <w:sz w:val="32"/>
          <w:szCs w:val="32"/>
          <w:u w:val="none"/>
        </w:rPr>
        <w:footnoteReference w:id="6"/>
      </w:r>
      <w:r>
        <w:rPr>
          <w:rFonts w:hint="eastAsia" w:ascii="仿宋_GB2312"/>
          <w:b w:val="0"/>
          <w:bCs w:val="0"/>
          <w:sz w:val="32"/>
          <w:szCs w:val="32"/>
          <w:u w:val="none"/>
        </w:rPr>
        <w:t>。</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珠江口西岸核心城市。充分发挥全国性综合交通枢纽、先进制造业基地、区域科技创新中心、商贸物流中心、区域消费中心、特色金融中心、文化艺术中心等核心城市职能</w:t>
      </w:r>
      <w:r>
        <w:rPr>
          <w:rStyle w:val="39"/>
          <w:b w:val="0"/>
          <w:bCs w:val="0"/>
          <w:sz w:val="32"/>
          <w:szCs w:val="32"/>
          <w:u w:val="none"/>
        </w:rPr>
        <w:footnoteReference w:id="7"/>
      </w:r>
      <w:r>
        <w:rPr>
          <w:rFonts w:hint="eastAsia" w:ascii="仿宋_GB2312"/>
          <w:b w:val="0"/>
          <w:bCs w:val="0"/>
          <w:sz w:val="32"/>
          <w:szCs w:val="32"/>
          <w:u w:val="none"/>
        </w:rPr>
        <w:t>，引领珠江口西岸一体化发展，与广州、深圳都市圈协同，携手港澳共建国际一流湾区和世界一流城市群，形成带动全省发展的主动力源之一</w:t>
      </w:r>
      <w:r>
        <w:rPr>
          <w:rStyle w:val="39"/>
          <w:b w:val="0"/>
          <w:bCs w:val="0"/>
          <w:sz w:val="32"/>
          <w:szCs w:val="32"/>
          <w:u w:val="none"/>
        </w:rPr>
        <w:footnoteReference w:id="8"/>
      </w:r>
      <w:r>
        <w:rPr>
          <w:rFonts w:hint="eastAsia" w:ascii="仿宋_GB2312"/>
          <w:b w:val="0"/>
          <w:bCs w:val="0"/>
          <w:sz w:val="32"/>
          <w:szCs w:val="32"/>
          <w:u w:val="none"/>
        </w:rPr>
        <w:t>。</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连接港澳的枢纽城市。推进具有区域比较优势的空港、海港与陆港建设，积极融入沿海区域高铁网、主动对接公路大通道，积极对接东岸和辐射西岸，支撑澳珠极点融入国家高铁网络，优化口岸功能布局、促进澳珠交通一体化衔接，为提升粤港澳大湾区开放型经济水平作出重要贡献</w:t>
      </w:r>
      <w:r>
        <w:rPr>
          <w:rStyle w:val="39"/>
          <w:b w:val="0"/>
          <w:bCs w:val="0"/>
          <w:sz w:val="32"/>
          <w:szCs w:val="32"/>
          <w:u w:val="none"/>
        </w:rPr>
        <w:footnoteReference w:id="9"/>
      </w:r>
      <w:r>
        <w:rPr>
          <w:rFonts w:hint="eastAsia" w:ascii="仿宋_GB2312"/>
          <w:b w:val="0"/>
          <w:bCs w:val="0"/>
          <w:sz w:val="32"/>
          <w:szCs w:val="32"/>
          <w:u w:val="none"/>
        </w:rPr>
        <w:t>。</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区域性海洋中心城市。落实“海洋强国”战略，深入践行海洋生态文明理念，加强陆海统筹，提升海洋科技创新能力，实现海洋经济跨越式高质量发展；响应“一带一路”</w:t>
      </w:r>
      <w:r>
        <w:rPr>
          <w:rFonts w:hint="eastAsia"/>
          <w:b w:val="0"/>
          <w:bCs w:val="0"/>
          <w:sz w:val="32"/>
          <w:szCs w:val="32"/>
          <w:u w:val="none"/>
        </w:rPr>
        <w:t>倡议</w:t>
      </w:r>
      <w:r>
        <w:rPr>
          <w:rFonts w:hint="eastAsia" w:ascii="仿宋_GB2312"/>
          <w:b w:val="0"/>
          <w:bCs w:val="0"/>
          <w:sz w:val="32"/>
          <w:szCs w:val="32"/>
          <w:u w:val="none"/>
        </w:rPr>
        <w:t>，参与国际海洋事务治理，成为对外彰显区域“蓝色实力”的重要代表</w:t>
      </w:r>
      <w:r>
        <w:rPr>
          <w:rStyle w:val="39"/>
          <w:b w:val="0"/>
          <w:bCs w:val="0"/>
          <w:sz w:val="32"/>
          <w:szCs w:val="32"/>
          <w:u w:val="none"/>
        </w:rPr>
        <w:footnoteReference w:id="10"/>
      </w:r>
      <w:r>
        <w:rPr>
          <w:rFonts w:hint="eastAsia" w:ascii="仿宋_GB2312"/>
          <w:b w:val="0"/>
          <w:bCs w:val="0"/>
          <w:sz w:val="32"/>
          <w:szCs w:val="32"/>
          <w:u w:val="none"/>
        </w:rPr>
        <w:t>。</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国际滨海旅游城市。立足唯一以整体城市景观入选“全国旅游胜地四十佳”的品牌积淀，彰显“山海相拥、陆岛相望、城田相依”的城市景观意象，深入挖掘具有珠海本土特色的岭南文化、红色文化、改革文化、留学文化、海洋文化资源，建设“风景区中的城市”，与澳门携手共建世界级休闲旅游目的地</w:t>
      </w:r>
      <w:r>
        <w:rPr>
          <w:rStyle w:val="39"/>
          <w:b w:val="0"/>
          <w:bCs w:val="0"/>
          <w:sz w:val="32"/>
          <w:szCs w:val="32"/>
          <w:u w:val="none"/>
        </w:rPr>
        <w:footnoteReference w:id="11"/>
      </w:r>
      <w:r>
        <w:rPr>
          <w:rFonts w:hint="eastAsia" w:ascii="仿宋_GB2312"/>
          <w:b w:val="0"/>
          <w:bCs w:val="0"/>
          <w:sz w:val="32"/>
          <w:szCs w:val="32"/>
          <w:u w:val="none"/>
        </w:rPr>
        <w:t>。</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32" w:name="_Toc29618"/>
      <w:r>
        <w:rPr>
          <w:rFonts w:hint="eastAsia"/>
          <w:b w:val="0"/>
          <w:bCs w:val="0"/>
          <w:sz w:val="32"/>
          <w:szCs w:val="32"/>
          <w:u w:val="none"/>
        </w:rPr>
        <w:t>城市</w:t>
      </w:r>
      <w:r>
        <w:rPr>
          <w:b w:val="0"/>
          <w:bCs w:val="0"/>
          <w:sz w:val="32"/>
          <w:szCs w:val="32"/>
          <w:u w:val="none"/>
        </w:rPr>
        <w:t>规模</w:t>
      </w:r>
      <w:bookmarkEnd w:id="32"/>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综合考虑资源环境承载力、城市能级量级提升及中密度宜居环境品质要求，至</w:t>
      </w:r>
      <w:r>
        <w:rPr>
          <w:rFonts w:hint="eastAsia"/>
          <w:b w:val="0"/>
          <w:bCs w:val="0"/>
          <w:sz w:val="32"/>
          <w:szCs w:val="32"/>
          <w:u w:val="none"/>
        </w:rPr>
        <w:t>2035</w:t>
      </w:r>
      <w:r>
        <w:rPr>
          <w:rFonts w:hint="eastAsia" w:ascii="仿宋_GB2312"/>
          <w:b w:val="0"/>
          <w:bCs w:val="0"/>
          <w:sz w:val="32"/>
          <w:szCs w:val="32"/>
          <w:u w:val="none"/>
        </w:rPr>
        <w:t>年，珠海市成为</w:t>
      </w:r>
      <w:r>
        <w:rPr>
          <w:rFonts w:hint="eastAsia"/>
          <w:b w:val="0"/>
          <w:bCs w:val="0"/>
          <w:sz w:val="32"/>
          <w:szCs w:val="32"/>
          <w:u w:val="none"/>
        </w:rPr>
        <w:t>I</w:t>
      </w:r>
      <w:r>
        <w:rPr>
          <w:rFonts w:hint="eastAsia" w:ascii="仿宋_GB2312"/>
          <w:b w:val="0"/>
          <w:bCs w:val="0"/>
          <w:sz w:val="32"/>
          <w:szCs w:val="32"/>
          <w:u w:val="none"/>
        </w:rPr>
        <w:t>型大城市。住房、绿地以及基本公共服务以满足常住人口需求为主；市政基础设施和交通基础设施应满足实际服务人口的需求。</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33" w:name="_Toc119682454"/>
      <w:bookmarkEnd w:id="33"/>
      <w:bookmarkStart w:id="34" w:name="_Toc119682053"/>
      <w:bookmarkEnd w:id="34"/>
      <w:bookmarkStart w:id="35" w:name="_Toc24195"/>
      <w:r>
        <w:rPr>
          <w:b w:val="0"/>
          <w:bCs w:val="0"/>
          <w:sz w:val="32"/>
          <w:szCs w:val="32"/>
          <w:u w:val="none"/>
        </w:rPr>
        <w:t>国土空间</w:t>
      </w:r>
      <w:r>
        <w:rPr>
          <w:rFonts w:hint="eastAsia"/>
          <w:b w:val="0"/>
          <w:bCs w:val="0"/>
          <w:sz w:val="32"/>
          <w:szCs w:val="32"/>
          <w:u w:val="none"/>
        </w:rPr>
        <w:t>开发</w:t>
      </w:r>
      <w:r>
        <w:rPr>
          <w:b w:val="0"/>
          <w:bCs w:val="0"/>
          <w:sz w:val="32"/>
          <w:szCs w:val="32"/>
          <w:u w:val="none"/>
        </w:rPr>
        <w:t>保护策略</w:t>
      </w:r>
      <w:bookmarkEnd w:id="35"/>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全面落实构建以国内大循环为主体、国内国际双循环相互促进的新发展格局等国家重大战略部署，</w:t>
      </w:r>
      <w:r>
        <w:rPr>
          <w:rFonts w:hint="eastAsia"/>
          <w:b w:val="0"/>
          <w:bCs w:val="0"/>
          <w:sz w:val="32"/>
          <w:szCs w:val="32"/>
          <w:u w:val="none"/>
        </w:rPr>
        <w:t>深入</w:t>
      </w:r>
      <w:r>
        <w:rPr>
          <w:rFonts w:hint="eastAsia" w:ascii="仿宋_GB2312"/>
          <w:b w:val="0"/>
          <w:bCs w:val="0"/>
          <w:sz w:val="32"/>
          <w:szCs w:val="32"/>
          <w:u w:val="none"/>
        </w:rPr>
        <w:t>贯彻广东省委省政府支撑新阶段粤港澳大湾区建设、制造业当家、百县千镇万村高质量发展工程、绿美广东生态建设等高质量发展战略，围绕“两条主线、一个协同”</w:t>
      </w:r>
      <w:r>
        <w:rPr>
          <w:rStyle w:val="39"/>
          <w:b w:val="0"/>
          <w:bCs w:val="0"/>
          <w:sz w:val="32"/>
          <w:szCs w:val="32"/>
          <w:u w:val="none"/>
        </w:rPr>
        <w:footnoteReference w:id="12"/>
      </w:r>
      <w:r>
        <w:rPr>
          <w:rFonts w:hint="eastAsia" w:ascii="仿宋_GB2312"/>
          <w:b w:val="0"/>
          <w:bCs w:val="0"/>
          <w:sz w:val="32"/>
          <w:szCs w:val="32"/>
          <w:u w:val="none"/>
        </w:rPr>
        <w:t>，实施八大基本策略</w:t>
      </w:r>
      <w:r>
        <w:rPr>
          <w:rStyle w:val="39"/>
          <w:b w:val="0"/>
          <w:bCs w:val="0"/>
          <w:sz w:val="32"/>
          <w:szCs w:val="32"/>
          <w:u w:val="none"/>
        </w:rPr>
        <w:footnoteReference w:id="13"/>
      </w:r>
      <w:r>
        <w:rPr>
          <w:rFonts w:hint="eastAsia" w:ascii="仿宋_GB2312"/>
          <w:b w:val="0"/>
          <w:bCs w:val="0"/>
          <w:sz w:val="32"/>
          <w:szCs w:val="32"/>
          <w:u w:val="none"/>
        </w:rPr>
        <w:t>，统筹全市国土空间开发保护“一盘棋”，加快实现国土空间开发保护目标。</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策略一：携手澳门，支撑建设国际一流湾区。全方位拓展和深化澳珠在科技研发和高端制造产业、品牌工业、文旅会展商贸产业、现代金融产业等多领域务实合作，支持澳门融入国家发展大局、为澳门产业多元发展创造条件。携手澳门推进基础设施互联互通、产业协同互补互促、公共服务共建共享、生态环境共保共治，协同构建结构科学、集约高效的澳珠极点空间发展格局，支撑国际一流湾区和世界一流城市群建设。发挥横琴粤澳深度合作区、东部中心城区、未来科学城等环港澳地区的政策和区位优势，加快西部中心城区高端产业功能和高等级公共服务设施的集中配置，引领黄金内湾的一体化发展，探索澳珠合作建设和深度融合的新模式。</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ascii="仿宋_GB2312"/>
          <w:b w:val="0"/>
          <w:bCs w:val="0"/>
          <w:sz w:val="32"/>
          <w:szCs w:val="32"/>
          <w:u w:val="none"/>
        </w:rPr>
        <w:t>策略二：</w:t>
      </w:r>
      <w:r>
        <w:rPr>
          <w:rFonts w:hint="eastAsia" w:ascii="仿宋_GB2312"/>
          <w:b w:val="0"/>
          <w:bCs w:val="0"/>
          <w:sz w:val="32"/>
          <w:szCs w:val="32"/>
          <w:u w:val="none"/>
        </w:rPr>
        <w:t>产业第一，提升生产中心功能辐射带动能力。连接主要商业服务业中心区、文化空间和旅游景点，形成商贸文旅廊道；对接大湾区“两廊两点”科技创新格局，构筑珠海科技创新网络；围绕广东省“制造业当家”部署，构建珠海高端制造网络；根据发展规模、产业类型和空间区位，实施“大集中、小集聚”的产业</w:t>
      </w:r>
      <w:r>
        <w:rPr>
          <w:rFonts w:hint="eastAsia"/>
          <w:b w:val="0"/>
          <w:bCs w:val="0"/>
          <w:sz w:val="32"/>
          <w:szCs w:val="32"/>
          <w:u w:val="none"/>
        </w:rPr>
        <w:t>空间</w:t>
      </w:r>
      <w:r>
        <w:rPr>
          <w:rFonts w:hint="eastAsia" w:ascii="仿宋_GB2312"/>
          <w:b w:val="0"/>
          <w:bCs w:val="0"/>
          <w:sz w:val="32"/>
          <w:szCs w:val="32"/>
          <w:u w:val="none"/>
        </w:rPr>
        <w:t>布局；严守工业用地控制线，坚决防止“脱实向虚”；提升产业空间供应质量，保障</w:t>
      </w:r>
      <w:r>
        <w:rPr>
          <w:rFonts w:hint="eastAsia"/>
          <w:b w:val="0"/>
          <w:bCs w:val="0"/>
          <w:sz w:val="32"/>
          <w:szCs w:val="32"/>
          <w:u w:val="none"/>
        </w:rPr>
        <w:t>5</w:t>
      </w:r>
      <w:r>
        <w:rPr>
          <w:rFonts w:hint="eastAsia" w:ascii="仿宋_GB2312"/>
          <w:b w:val="0"/>
          <w:bCs w:val="0"/>
          <w:sz w:val="32"/>
          <w:szCs w:val="32"/>
          <w:u w:val="none"/>
        </w:rPr>
        <w:t>.</w:t>
      </w:r>
      <w:r>
        <w:rPr>
          <w:rFonts w:hint="eastAsia"/>
          <w:b w:val="0"/>
          <w:bCs w:val="0"/>
          <w:sz w:val="32"/>
          <w:szCs w:val="32"/>
          <w:u w:val="none"/>
        </w:rPr>
        <w:t>0</w:t>
      </w:r>
      <w:r>
        <w:rPr>
          <w:rFonts w:hint="eastAsia" w:ascii="仿宋_GB2312"/>
          <w:b w:val="0"/>
          <w:bCs w:val="0"/>
          <w:sz w:val="32"/>
          <w:szCs w:val="32"/>
          <w:u w:val="none"/>
        </w:rPr>
        <w:t>产业新空间；积极盘活低效工业用地，促进产业转型升级。</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策略三：交通提升，建设全国性综合交通枢纽。构建“协同港澳、联通全国、直达国际”的全国性综合交通枢纽，支撑</w:t>
      </w:r>
      <w:r>
        <w:rPr>
          <w:rFonts w:hint="eastAsia"/>
          <w:b w:val="0"/>
          <w:bCs w:val="0"/>
          <w:sz w:val="32"/>
          <w:szCs w:val="32"/>
          <w:u w:val="none"/>
        </w:rPr>
        <w:t>珠江口</w:t>
      </w:r>
      <w:r>
        <w:rPr>
          <w:rFonts w:hint="eastAsia" w:ascii="仿宋_GB2312"/>
          <w:b w:val="0"/>
          <w:bCs w:val="0"/>
          <w:sz w:val="32"/>
          <w:szCs w:val="32"/>
          <w:u w:val="none"/>
        </w:rPr>
        <w:t>西岸核心城市建设。充分发挥双港的区域比较优势，加强与港澳机场合作，打造开通国际航班的复合型区域枢纽机场，建设“一带一路”战略支点的区域枢纽港口。加快建设珠海中心站（鹤洲），推动澳珠发展极融入国家高铁网络。共建直连直通的湾区交通网络，重点打通与湾区东岸的快速联系，扭转交通末端格局。优化口岸布局，促进澳珠交通协同发展。建设与基本城市组团高度匹配的干线路网格局，促进道路交通与用地开发协调发展。倡导公交加慢行出行方式，促进交通绿色低碳发展。</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策略四：城市跨越，构建核心城市空间格局。抓住粤港澳大湾区建设战略契机，以完善核心城市职能为“牛鼻子”，统筹考虑区域与城市、东部与西部、中心与外围的关系，突出把握能级量级提升、东西部均衡发展、四级架构建设等要求，大力调整空间结构，明确“双城”架构形成、横琴粤澳深度合作区建设、未来科学城发展、若干组团多点支撑等规划任务，从而强化核心城市职能，做到功能清晰、分工合理、主副结合、特优兼备，走出一条内涵集约发展的新路子，为实现核心城市跨越式高质量发展奠定坚实基础。</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策略五：陆海统筹，打造区域海洋中心城市。立足海洋资源本底特色、把握扼守湾区出海口区位优势，坚持生态优先、陆海统筹、优近拓远、区域协调的发展理念，加强陆海两域生态保护、资源配置和产业布局的协调对接，构建以海岸带为依托的陆海统筹发展带，协调岛群联动统筹发展，推动海洋开发走入深海、走向远海，深度参与粤港澳大湾区海洋经济合作，建设具有区域竞争力的海洋产业集群，实现从海洋大市向海洋强市的跃升。</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策略六：生态提质，打造生态文明新典范。落实最严格的耕地保护制度、水资源管理制度、生态环境保护制度，统筹划定三条控制线。构建一套融高快速路网、轨道线网、绿地系统、水网系统、中心体系、广场体系、旅游景点、历史文化遗产、耕地田园、基本城市组团于一体的生态空间体系，把城市融入自然，建设风景区中的城市。坚持中密度发展，严格管控“三度三线”，整合全域旅游资源，塑造城市景观风貌，建设具有吸引力的公共空间。加快实施重要生态系统保护和修复重大工程，不断提升生态系统多样性、稳定性和持续性。</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策略七：民生为要，打造魅力幸福城市。建立匹配四级架构的四级公共服务体系，对接港澳高标准配置公共服务设施，创新性的以“邻里”为单元构建十分钟社区生活圈，切实增强社区设施空间密度，提高居民服务便捷度；增加社区图书馆、社区自修室、幼儿照顾等设施，满足全年龄服务需求。构建新型住房供应体系，精准投放新增居住空间，引导职住空间合理布局。提升水电气等生命线工程防灾标准，强化城市生命线系统韧性，加强对台风等主要自然灾害的防控，全面提升滨海城市防灾减灾能力。</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策略八：城乡一体，推进乡村振兴。坚持农业农村优先发展，加强耕地数量、质量、生态“三位一体”保护，构建富民兴村的农业空间格局，保障粮食和优质农产品有效供给。发展一二三产相融合的现代都市农业，拓宽农民增收致富渠道。坚持城乡融合发展，实施农村土地综合整治，优化乡村生产、生活、生态空间布局。因地制宜、分类引导乡村有序发展，以“强镇带村”推动乡村全面振兴，打造百县千镇万村高质量发展工程试点示范。强化农房规划设计管控，建设具有珠海特色的宜居宜业和美乡村。</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36" w:name="_Toc29987"/>
      <w:r>
        <w:rPr>
          <w:b w:val="0"/>
          <w:bCs w:val="0"/>
          <w:sz w:val="32"/>
          <w:szCs w:val="32"/>
          <w:u w:val="none"/>
        </w:rPr>
        <w:t>规划</w:t>
      </w:r>
      <w:r>
        <w:rPr>
          <w:rFonts w:hint="eastAsia"/>
          <w:b w:val="0"/>
          <w:bCs w:val="0"/>
          <w:sz w:val="32"/>
          <w:szCs w:val="32"/>
          <w:u w:val="none"/>
        </w:rPr>
        <w:t>指标</w:t>
      </w:r>
      <w:r>
        <w:rPr>
          <w:b w:val="0"/>
          <w:bCs w:val="0"/>
          <w:sz w:val="32"/>
          <w:szCs w:val="32"/>
          <w:u w:val="none"/>
        </w:rPr>
        <w:t>管控</w:t>
      </w:r>
      <w:bookmarkEnd w:id="36"/>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指标体系是国土空间规划的重要组成部分，是指导规划实施、管理和监测评估的量化标准。</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约束性指标是为实现规划</w:t>
      </w:r>
      <w:r>
        <w:rPr>
          <w:rFonts w:hint="eastAsia"/>
          <w:b w:val="0"/>
          <w:bCs w:val="0"/>
          <w:sz w:val="32"/>
          <w:szCs w:val="32"/>
          <w:u w:val="none"/>
        </w:rPr>
        <w:t>目标</w:t>
      </w:r>
      <w:r>
        <w:rPr>
          <w:rFonts w:hint="eastAsia" w:ascii="仿宋_GB2312"/>
          <w:b w:val="0"/>
          <w:bCs w:val="0"/>
          <w:sz w:val="32"/>
          <w:szCs w:val="32"/>
          <w:u w:val="none"/>
        </w:rPr>
        <w:t>，在规划期内不得突破或必须实现的指标；预期性指标是指按照经济社会发展预期，规划期内努力实现或不突破的指标。</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细化指标传导管控要求，重点</w:t>
      </w:r>
      <w:r>
        <w:rPr>
          <w:rFonts w:hint="eastAsia"/>
          <w:b w:val="0"/>
          <w:bCs w:val="0"/>
          <w:sz w:val="32"/>
          <w:szCs w:val="32"/>
          <w:u w:val="none"/>
        </w:rPr>
        <w:t>分解</w:t>
      </w:r>
      <w:r>
        <w:rPr>
          <w:rFonts w:hint="eastAsia" w:ascii="仿宋_GB2312"/>
          <w:b w:val="0"/>
          <w:bCs w:val="0"/>
          <w:sz w:val="32"/>
          <w:szCs w:val="32"/>
          <w:u w:val="none"/>
        </w:rPr>
        <w:t>耕地保有量、永久基本农田保护面积、生态保护红线面积、城镇开发边界等指标，形成行政区指标分解方案，确保本规划指标的传导落实。</w:t>
      </w:r>
    </w:p>
    <w:p>
      <w:pPr>
        <w:pStyle w:val="3"/>
        <w:keepNext w:val="0"/>
        <w:pageBreakBefore w:val="0"/>
        <w:widowControl w:val="0"/>
        <w:kinsoku/>
        <w:wordWrap/>
        <w:overflowPunct/>
        <w:topLinePunct w:val="0"/>
        <w:autoSpaceDE/>
        <w:autoSpaceDN/>
        <w:bidi w:val="0"/>
        <w:adjustRightInd/>
        <w:snapToGrid/>
        <w:spacing w:before="0" w:beforeLines="0" w:after="0" w:afterLines="0" w:line="579" w:lineRule="exact"/>
        <w:textAlignment w:val="auto"/>
        <w:rPr>
          <w:b w:val="0"/>
          <w:bCs w:val="0"/>
          <w:sz w:val="32"/>
          <w:szCs w:val="32"/>
          <w:u w:val="none"/>
        </w:rPr>
      </w:pPr>
      <w:r>
        <w:rPr>
          <w:b w:val="0"/>
          <w:bCs w:val="0"/>
          <w:sz w:val="32"/>
          <w:szCs w:val="32"/>
          <w:u w:val="none"/>
        </w:rPr>
        <w:br w:type="page"/>
      </w:r>
      <w:bookmarkStart w:id="37" w:name="_Toc23679"/>
      <w:r>
        <w:rPr>
          <w:rFonts w:hint="eastAsia" w:ascii="方正小标宋简体" w:hAnsi="方正小标宋简体" w:eastAsia="方正小标宋简体" w:cs="方正小标宋简体"/>
          <w:b w:val="0"/>
          <w:bCs w:val="0"/>
          <w:sz w:val="44"/>
          <w:szCs w:val="44"/>
          <w:u w:val="none"/>
        </w:rPr>
        <w:t>国土空间总体格局</w:t>
      </w:r>
      <w:bookmarkEnd w:id="37"/>
    </w:p>
    <w:p>
      <w:pPr>
        <w:pStyle w:val="81"/>
        <w:keepNext w:val="0"/>
        <w:keepLines/>
        <w:pageBreakBefore w:val="0"/>
        <w:widowControl w:val="0"/>
        <w:kinsoku/>
        <w:wordWrap/>
        <w:overflowPunct/>
        <w:topLinePunct w:val="0"/>
        <w:autoSpaceDE/>
        <w:autoSpaceDN/>
        <w:bidi w:val="0"/>
        <w:adjustRightInd/>
        <w:snapToGrid/>
        <w:spacing w:before="470" w:beforeLines="80" w:after="470" w:afterLines="80" w:line="579" w:lineRule="exact"/>
        <w:ind w:firstLine="403"/>
        <w:textAlignment w:val="auto"/>
        <w:rPr>
          <w:b w:val="0"/>
          <w:bCs w:val="0"/>
          <w:sz w:val="32"/>
          <w:szCs w:val="32"/>
          <w:u w:val="none"/>
        </w:rPr>
      </w:pPr>
      <w:bookmarkStart w:id="38" w:name="_Toc21350"/>
      <w:r>
        <w:rPr>
          <w:b w:val="0"/>
          <w:bCs w:val="0"/>
          <w:sz w:val="32"/>
          <w:szCs w:val="32"/>
          <w:u w:val="none"/>
        </w:rPr>
        <w:t>重要控制线划定</w:t>
      </w:r>
      <w:bookmarkEnd w:id="38"/>
    </w:p>
    <w:p>
      <w:pPr>
        <w:pStyle w:val="85"/>
        <w:keepNext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39" w:name="_Toc7083"/>
      <w:r>
        <w:rPr>
          <w:rFonts w:hint="eastAsia"/>
          <w:b w:val="0"/>
          <w:bCs w:val="0"/>
          <w:sz w:val="32"/>
          <w:szCs w:val="32"/>
          <w:u w:val="none"/>
        </w:rPr>
        <w:t>优先划定耕地和永久基本农田</w:t>
      </w:r>
      <w:bookmarkEnd w:id="39"/>
    </w:p>
    <w:p>
      <w:pPr>
        <w:keepNext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ascii="仿宋_GB2312" w:hAnsi="仿宋" w:cs="Times New Roman"/>
          <w:b w:val="0"/>
          <w:bCs w:val="0"/>
          <w:kern w:val="0"/>
          <w:sz w:val="32"/>
          <w:szCs w:val="32"/>
          <w:u w:val="none"/>
        </w:rPr>
        <w:t>按照耕地和永久基本农田、生态保护红线、城镇开发边界的顺序，统筹划定落实三条控制线。</w:t>
      </w:r>
    </w:p>
    <w:p>
      <w:pPr>
        <w:keepNext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耕地保有量是规划期内必须保有的耕地面积。坚持符合法律和政策规定的现状耕地应保尽保、应划尽划，珠海市划定耕地保有量</w:t>
      </w:r>
      <w:r>
        <w:rPr>
          <w:rFonts w:hint="eastAsia" w:cs="Times New Roman"/>
          <w:b w:val="0"/>
          <w:bCs w:val="0"/>
          <w:kern w:val="0"/>
          <w:sz w:val="32"/>
          <w:szCs w:val="32"/>
          <w:u w:val="none"/>
        </w:rPr>
        <w:t>8</w:t>
      </w:r>
      <w:r>
        <w:rPr>
          <w:rFonts w:hint="eastAsia" w:ascii="仿宋_GB2312" w:hAnsi="仿宋" w:cs="Times New Roman"/>
          <w:b w:val="0"/>
          <w:bCs w:val="0"/>
          <w:kern w:val="0"/>
          <w:sz w:val="32"/>
          <w:szCs w:val="32"/>
          <w:u w:val="none"/>
        </w:rPr>
        <w:t>.</w:t>
      </w:r>
      <w:r>
        <w:rPr>
          <w:rFonts w:hint="eastAsia" w:cs="Times New Roman"/>
          <w:b w:val="0"/>
          <w:bCs w:val="0"/>
          <w:kern w:val="0"/>
          <w:sz w:val="32"/>
          <w:szCs w:val="32"/>
          <w:u w:val="none"/>
        </w:rPr>
        <w:t>86</w:t>
      </w:r>
      <w:r>
        <w:rPr>
          <w:rFonts w:hint="eastAsia" w:ascii="仿宋_GB2312" w:hAnsi="仿宋" w:cs="Times New Roman"/>
          <w:b w:val="0"/>
          <w:bCs w:val="0"/>
          <w:kern w:val="0"/>
          <w:sz w:val="32"/>
          <w:szCs w:val="32"/>
          <w:u w:val="none"/>
        </w:rPr>
        <w:t>万亩（</w:t>
      </w:r>
      <w:r>
        <w:rPr>
          <w:rFonts w:hint="eastAsia" w:cs="Times New Roman"/>
          <w:b w:val="0"/>
          <w:bCs w:val="0"/>
          <w:kern w:val="0"/>
          <w:sz w:val="32"/>
          <w:szCs w:val="32"/>
          <w:u w:val="none"/>
        </w:rPr>
        <w:t>59</w:t>
      </w:r>
      <w:r>
        <w:rPr>
          <w:rFonts w:hint="eastAsia" w:ascii="仿宋_GB2312" w:hAnsi="仿宋" w:cs="Times New Roman"/>
          <w:b w:val="0"/>
          <w:bCs w:val="0"/>
          <w:kern w:val="0"/>
          <w:sz w:val="32"/>
          <w:szCs w:val="32"/>
          <w:u w:val="none"/>
        </w:rPr>
        <w:t>.</w:t>
      </w:r>
      <w:r>
        <w:rPr>
          <w:rFonts w:hint="eastAsia" w:cs="Times New Roman"/>
          <w:b w:val="0"/>
          <w:bCs w:val="0"/>
          <w:kern w:val="0"/>
          <w:sz w:val="32"/>
          <w:szCs w:val="32"/>
          <w:u w:val="none"/>
        </w:rPr>
        <w:t>06</w:t>
      </w:r>
      <w:r>
        <w:rPr>
          <w:rFonts w:hint="eastAsia" w:ascii="仿宋_GB2312" w:hAnsi="仿宋" w:cs="Times New Roman"/>
          <w:b w:val="0"/>
          <w:bCs w:val="0"/>
          <w:kern w:val="0"/>
          <w:sz w:val="32"/>
          <w:szCs w:val="32"/>
          <w:u w:val="none"/>
        </w:rPr>
        <w:t>平方公里）。</w:t>
      </w:r>
    </w:p>
    <w:p>
      <w:pPr>
        <w:keepNext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ascii="仿宋_GB2312" w:hAnsi="仿宋" w:cs="Times New Roman"/>
          <w:b w:val="0"/>
          <w:bCs w:val="0"/>
          <w:kern w:val="0"/>
          <w:sz w:val="32"/>
          <w:szCs w:val="32"/>
          <w:u w:val="none"/>
        </w:rPr>
        <w:t>永久基本农田是为保障国家粮食安全，按照一定时期人口和经济社会发展对农产品的需求，依法确定不得擅自占用或改变用途，实施特殊保护的耕地。坚持在耕地保有量范围内</w:t>
      </w:r>
      <w:r>
        <w:rPr>
          <w:rFonts w:hint="eastAsia" w:ascii="仿宋_GB2312" w:hAnsi="仿宋" w:cs="Times New Roman"/>
          <w:b w:val="0"/>
          <w:bCs w:val="0"/>
          <w:kern w:val="0"/>
          <w:sz w:val="32"/>
          <w:szCs w:val="32"/>
          <w:u w:val="none"/>
        </w:rPr>
        <w:t>可以长期稳定利用耕地划入永久基本农田实行特殊保护，</w:t>
      </w:r>
      <w:r>
        <w:rPr>
          <w:rFonts w:ascii="仿宋_GB2312" w:hAnsi="仿宋" w:cs="Times New Roman"/>
          <w:b w:val="0"/>
          <w:bCs w:val="0"/>
          <w:kern w:val="0"/>
          <w:sz w:val="32"/>
          <w:szCs w:val="32"/>
          <w:u w:val="none"/>
        </w:rPr>
        <w:t>珠海市</w:t>
      </w:r>
      <w:r>
        <w:rPr>
          <w:rFonts w:hint="eastAsia" w:ascii="仿宋_GB2312" w:hAnsi="仿宋" w:cs="Times New Roman"/>
          <w:b w:val="0"/>
          <w:bCs w:val="0"/>
          <w:kern w:val="0"/>
          <w:sz w:val="32"/>
          <w:szCs w:val="32"/>
          <w:u w:val="none"/>
        </w:rPr>
        <w:t>划定永久基本农田保护面积</w:t>
      </w:r>
      <w:r>
        <w:rPr>
          <w:rFonts w:hint="eastAsia" w:cs="Times New Roman"/>
          <w:b w:val="0"/>
          <w:bCs w:val="0"/>
          <w:kern w:val="0"/>
          <w:sz w:val="32"/>
          <w:szCs w:val="32"/>
          <w:u w:val="none"/>
        </w:rPr>
        <w:t>7</w:t>
      </w:r>
      <w:r>
        <w:rPr>
          <w:rFonts w:hint="eastAsia" w:ascii="仿宋_GB2312" w:hAnsi="仿宋" w:cs="Times New Roman"/>
          <w:b w:val="0"/>
          <w:bCs w:val="0"/>
          <w:kern w:val="0"/>
          <w:sz w:val="32"/>
          <w:szCs w:val="32"/>
          <w:u w:val="none"/>
        </w:rPr>
        <w:t>.</w:t>
      </w:r>
      <w:r>
        <w:rPr>
          <w:rFonts w:hint="eastAsia" w:cs="Times New Roman"/>
          <w:b w:val="0"/>
          <w:bCs w:val="0"/>
          <w:kern w:val="0"/>
          <w:sz w:val="32"/>
          <w:szCs w:val="32"/>
          <w:u w:val="none"/>
        </w:rPr>
        <w:t>28</w:t>
      </w:r>
      <w:r>
        <w:rPr>
          <w:rFonts w:hint="eastAsia" w:ascii="仿宋_GB2312" w:hAnsi="仿宋" w:cs="Times New Roman"/>
          <w:b w:val="0"/>
          <w:bCs w:val="0"/>
          <w:kern w:val="0"/>
          <w:sz w:val="32"/>
          <w:szCs w:val="32"/>
          <w:u w:val="none"/>
        </w:rPr>
        <w:t>万亩（</w:t>
      </w:r>
      <w:r>
        <w:rPr>
          <w:rFonts w:hint="eastAsia" w:cs="Times New Roman"/>
          <w:b w:val="0"/>
          <w:bCs w:val="0"/>
          <w:kern w:val="0"/>
          <w:sz w:val="32"/>
          <w:szCs w:val="32"/>
          <w:u w:val="none"/>
        </w:rPr>
        <w:t>48</w:t>
      </w:r>
      <w:r>
        <w:rPr>
          <w:rFonts w:hint="eastAsia" w:ascii="仿宋_GB2312" w:hAnsi="仿宋" w:cs="Times New Roman"/>
          <w:b w:val="0"/>
          <w:bCs w:val="0"/>
          <w:kern w:val="0"/>
          <w:sz w:val="32"/>
          <w:szCs w:val="32"/>
          <w:u w:val="none"/>
        </w:rPr>
        <w:t>.</w:t>
      </w:r>
      <w:r>
        <w:rPr>
          <w:rFonts w:hint="eastAsia" w:cs="Times New Roman"/>
          <w:b w:val="0"/>
          <w:bCs w:val="0"/>
          <w:kern w:val="0"/>
          <w:sz w:val="32"/>
          <w:szCs w:val="32"/>
          <w:u w:val="none"/>
        </w:rPr>
        <w:t>54</w:t>
      </w:r>
      <w:r>
        <w:rPr>
          <w:rFonts w:hint="eastAsia" w:ascii="仿宋_GB2312" w:hAnsi="仿宋" w:cs="Times New Roman"/>
          <w:b w:val="0"/>
          <w:bCs w:val="0"/>
          <w:kern w:val="0"/>
          <w:sz w:val="32"/>
          <w:szCs w:val="32"/>
          <w:u w:val="none"/>
        </w:rPr>
        <w:t>平方公里）。</w:t>
      </w:r>
    </w:p>
    <w:p>
      <w:pPr>
        <w:keepNext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ascii="仿宋_GB2312" w:hAnsi="仿宋" w:cs="Times New Roman"/>
          <w:b w:val="0"/>
          <w:bCs w:val="0"/>
          <w:kern w:val="0"/>
          <w:sz w:val="32"/>
          <w:szCs w:val="32"/>
          <w:u w:val="none"/>
        </w:rPr>
        <w:t>确保耕地和永久基本农田保护目标任务足额带位置落实到地块，做到上图入库、建档立卡，守住耕地保护红线和粮食安全底线。耕地和永久基本农田禁止性、限制性管控要求详见专栏</w:t>
      </w:r>
      <w:r>
        <w:rPr>
          <w:rFonts w:hint="eastAsia" w:cs="Times New Roman"/>
          <w:b w:val="0"/>
          <w:bCs w:val="0"/>
          <w:kern w:val="0"/>
          <w:sz w:val="32"/>
          <w:szCs w:val="32"/>
          <w:u w:val="none"/>
        </w:rPr>
        <w:t>4</w:t>
      </w:r>
      <w:r>
        <w:rPr>
          <w:rFonts w:ascii="仿宋_GB2312" w:hAnsi="仿宋" w:cs="Times New Roman"/>
          <w:b w:val="0"/>
          <w:bCs w:val="0"/>
          <w:kern w:val="0"/>
          <w:sz w:val="32"/>
          <w:szCs w:val="32"/>
          <w:u w:val="none"/>
        </w:rPr>
        <w:t>-</w:t>
      </w:r>
      <w:r>
        <w:rPr>
          <w:rFonts w:cs="Times New Roman"/>
          <w:b w:val="0"/>
          <w:bCs w:val="0"/>
          <w:kern w:val="0"/>
          <w:sz w:val="32"/>
          <w:szCs w:val="32"/>
          <w:u w:val="none"/>
        </w:rPr>
        <w:t>1</w:t>
      </w:r>
      <w:r>
        <w:rPr>
          <w:rFonts w:ascii="仿宋_GB2312" w:hAnsi="仿宋" w:cs="Times New Roman"/>
          <w:b w:val="0"/>
          <w:bCs w:val="0"/>
          <w:kern w:val="0"/>
          <w:sz w:val="32"/>
          <w:szCs w:val="32"/>
          <w:u w:val="none"/>
        </w:rPr>
        <w:t>。</w:t>
      </w:r>
    </w:p>
    <w:p>
      <w:pPr>
        <w:pStyle w:val="85"/>
        <w:keepNext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40" w:name="_Toc24603"/>
      <w:r>
        <w:rPr>
          <w:rFonts w:hint="eastAsia"/>
          <w:b w:val="0"/>
          <w:bCs w:val="0"/>
          <w:sz w:val="32"/>
          <w:szCs w:val="32"/>
          <w:u w:val="none"/>
        </w:rPr>
        <w:t>科学划定生态保护红线</w:t>
      </w:r>
      <w:bookmarkEnd w:id="40"/>
    </w:p>
    <w:p>
      <w:pPr>
        <w:keepNext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生态保护红线包括陆域生态保护红线和海洋生态保护红线，是生态空间范围内具有特殊重要生态功能、必须强制性严格保护的区域。将整合优化后的自然保护地，生态</w:t>
      </w:r>
      <w:r>
        <w:rPr>
          <w:rFonts w:hint="eastAsia"/>
          <w:b w:val="0"/>
          <w:bCs w:val="0"/>
          <w:sz w:val="32"/>
          <w:szCs w:val="32"/>
          <w:u w:val="none"/>
        </w:rPr>
        <w:t>功能</w:t>
      </w:r>
      <w:r>
        <w:rPr>
          <w:rFonts w:hint="eastAsia" w:ascii="仿宋_GB2312"/>
          <w:b w:val="0"/>
          <w:bCs w:val="0"/>
          <w:sz w:val="32"/>
          <w:szCs w:val="32"/>
          <w:u w:val="none"/>
        </w:rPr>
        <w:t>极重要、生态极脆弱区域及具有潜在重要生态价值的生态空间划入生态保护红线。原则上尚未开发利用和具有特殊保护价值的无居民海岛作为战略留白，纳入生态保护红线。</w:t>
      </w:r>
    </w:p>
    <w:p>
      <w:pPr>
        <w:keepNext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珠海市划定生态保护红线</w:t>
      </w:r>
      <w:r>
        <w:rPr>
          <w:rFonts w:hint="eastAsia"/>
          <w:b w:val="0"/>
          <w:bCs w:val="0"/>
          <w:sz w:val="32"/>
          <w:szCs w:val="32"/>
          <w:u w:val="none"/>
        </w:rPr>
        <w:t>3501</w:t>
      </w:r>
      <w:r>
        <w:rPr>
          <w:rFonts w:hint="eastAsia" w:ascii="仿宋_GB2312"/>
          <w:b w:val="0"/>
          <w:bCs w:val="0"/>
          <w:sz w:val="32"/>
          <w:szCs w:val="32"/>
          <w:u w:val="none"/>
        </w:rPr>
        <w:t>.</w:t>
      </w:r>
      <w:r>
        <w:rPr>
          <w:rFonts w:hint="eastAsia"/>
          <w:b w:val="0"/>
          <w:bCs w:val="0"/>
          <w:sz w:val="32"/>
          <w:szCs w:val="32"/>
          <w:u w:val="none"/>
        </w:rPr>
        <w:t>22</w:t>
      </w:r>
      <w:r>
        <w:rPr>
          <w:rFonts w:hint="eastAsia" w:ascii="仿宋_GB2312"/>
          <w:b w:val="0"/>
          <w:bCs w:val="0"/>
          <w:sz w:val="32"/>
          <w:szCs w:val="32"/>
          <w:u w:val="none"/>
        </w:rPr>
        <w:t>平方公里，其中，陆域生态保护红线</w:t>
      </w:r>
      <w:r>
        <w:rPr>
          <w:rFonts w:hint="eastAsia"/>
          <w:b w:val="0"/>
          <w:bCs w:val="0"/>
          <w:sz w:val="32"/>
          <w:szCs w:val="32"/>
          <w:u w:val="none"/>
        </w:rPr>
        <w:t>194</w:t>
      </w:r>
      <w:r>
        <w:rPr>
          <w:rFonts w:hint="eastAsia" w:ascii="仿宋_GB2312"/>
          <w:b w:val="0"/>
          <w:bCs w:val="0"/>
          <w:sz w:val="32"/>
          <w:szCs w:val="32"/>
          <w:u w:val="none"/>
        </w:rPr>
        <w:t>.</w:t>
      </w:r>
      <w:r>
        <w:rPr>
          <w:rFonts w:hint="eastAsia"/>
          <w:b w:val="0"/>
          <w:bCs w:val="0"/>
          <w:sz w:val="32"/>
          <w:szCs w:val="32"/>
          <w:u w:val="none"/>
        </w:rPr>
        <w:t>63</w:t>
      </w:r>
      <w:r>
        <w:rPr>
          <w:rFonts w:hint="eastAsia" w:ascii="仿宋_GB2312"/>
          <w:b w:val="0"/>
          <w:bCs w:val="0"/>
          <w:sz w:val="32"/>
          <w:szCs w:val="32"/>
          <w:u w:val="none"/>
        </w:rPr>
        <w:t>平方公里，约占陆域面积的</w:t>
      </w:r>
      <w:r>
        <w:rPr>
          <w:rFonts w:hint="eastAsia"/>
          <w:b w:val="0"/>
          <w:bCs w:val="0"/>
          <w:sz w:val="32"/>
          <w:szCs w:val="32"/>
          <w:u w:val="none"/>
        </w:rPr>
        <w:t>11</w:t>
      </w:r>
      <w:r>
        <w:rPr>
          <w:rFonts w:hint="eastAsia" w:ascii="仿宋_GB2312"/>
          <w:b w:val="0"/>
          <w:bCs w:val="0"/>
          <w:sz w:val="32"/>
          <w:szCs w:val="32"/>
          <w:u w:val="none"/>
        </w:rPr>
        <w:t>%，海洋生态保护红线</w:t>
      </w:r>
      <w:r>
        <w:rPr>
          <w:rFonts w:hint="eastAsia"/>
          <w:b w:val="0"/>
          <w:bCs w:val="0"/>
          <w:sz w:val="32"/>
          <w:szCs w:val="32"/>
          <w:u w:val="none"/>
        </w:rPr>
        <w:t>3306</w:t>
      </w:r>
      <w:r>
        <w:rPr>
          <w:rFonts w:hint="eastAsia" w:ascii="仿宋_GB2312"/>
          <w:b w:val="0"/>
          <w:bCs w:val="0"/>
          <w:sz w:val="32"/>
          <w:szCs w:val="32"/>
          <w:u w:val="none"/>
        </w:rPr>
        <w:t>.</w:t>
      </w:r>
      <w:r>
        <w:rPr>
          <w:rFonts w:hint="eastAsia"/>
          <w:b w:val="0"/>
          <w:bCs w:val="0"/>
          <w:sz w:val="32"/>
          <w:szCs w:val="32"/>
          <w:u w:val="none"/>
        </w:rPr>
        <w:t>59</w:t>
      </w:r>
      <w:r>
        <w:rPr>
          <w:rFonts w:hint="eastAsia" w:ascii="仿宋_GB2312"/>
          <w:b w:val="0"/>
          <w:bCs w:val="0"/>
          <w:sz w:val="32"/>
          <w:szCs w:val="32"/>
          <w:u w:val="none"/>
        </w:rPr>
        <w:t>平方公里，约占海域面积的</w:t>
      </w:r>
      <w:r>
        <w:rPr>
          <w:rFonts w:hint="eastAsia"/>
          <w:b w:val="0"/>
          <w:bCs w:val="0"/>
          <w:sz w:val="32"/>
          <w:szCs w:val="32"/>
          <w:u w:val="none"/>
        </w:rPr>
        <w:t>35</w:t>
      </w:r>
      <w:r>
        <w:rPr>
          <w:rFonts w:hint="eastAsia" w:ascii="仿宋_GB2312"/>
          <w:b w:val="0"/>
          <w:bCs w:val="0"/>
          <w:sz w:val="32"/>
          <w:szCs w:val="32"/>
          <w:u w:val="none"/>
        </w:rPr>
        <w:t>%。</w:t>
      </w:r>
    </w:p>
    <w:p>
      <w:pPr>
        <w:keepNext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cs="Times New Roman"/>
          <w:b w:val="0"/>
          <w:bCs w:val="0"/>
          <w:sz w:val="32"/>
          <w:szCs w:val="32"/>
          <w:u w:val="none"/>
        </w:rPr>
        <w:t>生态保护红线按照国家相关规定进行管控。增强生态系统服务功能，注重保护重要生态空间，严格控制人为活动，减少开发建设对生态系统的破坏和扰动。生态保护红线禁止性、限制性管控要求详见专栏</w:t>
      </w:r>
      <w:r>
        <w:rPr>
          <w:rFonts w:hint="eastAsia" w:cs="Times New Roman"/>
          <w:b w:val="0"/>
          <w:bCs w:val="0"/>
          <w:sz w:val="32"/>
          <w:szCs w:val="32"/>
          <w:u w:val="none"/>
        </w:rPr>
        <w:t>4</w:t>
      </w:r>
      <w:r>
        <w:rPr>
          <w:rFonts w:hint="eastAsia" w:ascii="仿宋_GB2312" w:cs="Times New Roman"/>
          <w:b w:val="0"/>
          <w:bCs w:val="0"/>
          <w:sz w:val="32"/>
          <w:szCs w:val="32"/>
          <w:u w:val="none"/>
        </w:rPr>
        <w:t>-</w:t>
      </w:r>
      <w:r>
        <w:rPr>
          <w:rFonts w:hint="eastAsia" w:cs="Times New Roman"/>
          <w:b w:val="0"/>
          <w:bCs w:val="0"/>
          <w:sz w:val="32"/>
          <w:szCs w:val="32"/>
          <w:u w:val="none"/>
        </w:rPr>
        <w:t>1</w:t>
      </w:r>
      <w:r>
        <w:rPr>
          <w:rFonts w:hint="eastAsia" w:ascii="仿宋_GB2312" w:cs="Times New Roman"/>
          <w:b w:val="0"/>
          <w:bCs w:val="0"/>
          <w:sz w:val="32"/>
          <w:szCs w:val="32"/>
          <w:u w:val="none"/>
        </w:rPr>
        <w:t>。</w:t>
      </w:r>
    </w:p>
    <w:p>
      <w:pPr>
        <w:pStyle w:val="85"/>
        <w:keepNext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41" w:name="_Toc3712"/>
      <w:r>
        <w:rPr>
          <w:b w:val="0"/>
          <w:bCs w:val="0"/>
          <w:sz w:val="32"/>
          <w:szCs w:val="32"/>
          <w:u w:val="none"/>
        </w:rPr>
        <w:t>合理划定城镇</w:t>
      </w:r>
      <w:r>
        <w:rPr>
          <w:rFonts w:hint="eastAsia"/>
          <w:b w:val="0"/>
          <w:bCs w:val="0"/>
          <w:sz w:val="32"/>
          <w:szCs w:val="32"/>
          <w:u w:val="none"/>
        </w:rPr>
        <w:t>开发</w:t>
      </w:r>
      <w:r>
        <w:rPr>
          <w:b w:val="0"/>
          <w:bCs w:val="0"/>
          <w:sz w:val="32"/>
          <w:szCs w:val="32"/>
          <w:u w:val="none"/>
        </w:rPr>
        <w:t>边界</w:t>
      </w:r>
      <w:bookmarkEnd w:id="41"/>
    </w:p>
    <w:p>
      <w:pPr>
        <w:keepNext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城镇开发边界是可以集中进行城市开发建设、以城市功能为主的区域边界。珠海市划定城镇开发边界划定城镇开发边界面积</w:t>
      </w:r>
      <w:r>
        <w:rPr>
          <w:rFonts w:hint="eastAsia"/>
          <w:b w:val="0"/>
          <w:bCs w:val="0"/>
          <w:sz w:val="32"/>
          <w:szCs w:val="32"/>
          <w:u w:val="none"/>
        </w:rPr>
        <w:t>525</w:t>
      </w:r>
      <w:r>
        <w:rPr>
          <w:rFonts w:hint="eastAsia" w:ascii="仿宋_GB2312"/>
          <w:b w:val="0"/>
          <w:bCs w:val="0"/>
          <w:sz w:val="32"/>
          <w:szCs w:val="32"/>
          <w:u w:val="none"/>
        </w:rPr>
        <w:t>.</w:t>
      </w:r>
      <w:r>
        <w:rPr>
          <w:rFonts w:hint="eastAsia"/>
          <w:b w:val="0"/>
          <w:bCs w:val="0"/>
          <w:sz w:val="32"/>
          <w:szCs w:val="32"/>
          <w:u w:val="none"/>
        </w:rPr>
        <w:t>16</w:t>
      </w:r>
      <w:r>
        <w:rPr>
          <w:rFonts w:hint="eastAsia" w:ascii="仿宋_GB2312"/>
          <w:b w:val="0"/>
          <w:bCs w:val="0"/>
          <w:sz w:val="32"/>
          <w:szCs w:val="32"/>
          <w:u w:val="none"/>
        </w:rPr>
        <w:t>平方公里，约占陆域面积的</w:t>
      </w:r>
      <w:r>
        <w:rPr>
          <w:b w:val="0"/>
          <w:bCs w:val="0"/>
          <w:sz w:val="32"/>
          <w:szCs w:val="32"/>
          <w:u w:val="none"/>
        </w:rPr>
        <w:t>30</w:t>
      </w:r>
      <w:r>
        <w:rPr>
          <w:rFonts w:hint="eastAsia" w:ascii="仿宋_GB2312"/>
          <w:b w:val="0"/>
          <w:bCs w:val="0"/>
          <w:sz w:val="32"/>
          <w:szCs w:val="32"/>
          <w:u w:val="none"/>
        </w:rPr>
        <w:t>%。</w:t>
      </w:r>
    </w:p>
    <w:p>
      <w:pPr>
        <w:keepNext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城镇开发边界内分为城镇集中建设区和特别用途区。其中，城镇集中建设区</w:t>
      </w:r>
      <w:r>
        <w:rPr>
          <w:rFonts w:hint="eastAsia"/>
          <w:b w:val="0"/>
          <w:bCs w:val="0"/>
          <w:sz w:val="32"/>
          <w:szCs w:val="32"/>
          <w:u w:val="none"/>
        </w:rPr>
        <w:t>522</w:t>
      </w:r>
      <w:r>
        <w:rPr>
          <w:rFonts w:hint="eastAsia" w:ascii="仿宋_GB2312"/>
          <w:b w:val="0"/>
          <w:bCs w:val="0"/>
          <w:sz w:val="32"/>
          <w:szCs w:val="32"/>
          <w:u w:val="none"/>
        </w:rPr>
        <w:t>.</w:t>
      </w:r>
      <w:r>
        <w:rPr>
          <w:rFonts w:hint="eastAsia"/>
          <w:b w:val="0"/>
          <w:bCs w:val="0"/>
          <w:sz w:val="32"/>
          <w:szCs w:val="32"/>
          <w:u w:val="none"/>
        </w:rPr>
        <w:t>04</w:t>
      </w:r>
      <w:r>
        <w:rPr>
          <w:rFonts w:hint="eastAsia" w:ascii="仿宋_GB2312"/>
          <w:b w:val="0"/>
          <w:bCs w:val="0"/>
          <w:sz w:val="32"/>
          <w:szCs w:val="32"/>
          <w:u w:val="none"/>
        </w:rPr>
        <w:t>平方公里，包括现状建成区和规划集中连片、规模较大、形态规整的地域，是规划期内开展城市开发和集中建设的区域。特别用途区</w:t>
      </w:r>
      <w:r>
        <w:rPr>
          <w:rFonts w:hint="eastAsia"/>
          <w:b w:val="0"/>
          <w:bCs w:val="0"/>
          <w:sz w:val="32"/>
          <w:szCs w:val="32"/>
          <w:u w:val="none"/>
        </w:rPr>
        <w:t>3</w:t>
      </w:r>
      <w:r>
        <w:rPr>
          <w:rFonts w:hint="eastAsia" w:ascii="仿宋_GB2312"/>
          <w:b w:val="0"/>
          <w:bCs w:val="0"/>
          <w:sz w:val="32"/>
          <w:szCs w:val="32"/>
          <w:u w:val="none"/>
        </w:rPr>
        <w:t>.</w:t>
      </w:r>
      <w:r>
        <w:rPr>
          <w:rFonts w:hint="eastAsia"/>
          <w:b w:val="0"/>
          <w:bCs w:val="0"/>
          <w:sz w:val="32"/>
          <w:szCs w:val="32"/>
          <w:u w:val="none"/>
        </w:rPr>
        <w:t>12</w:t>
      </w:r>
      <w:r>
        <w:rPr>
          <w:rFonts w:hint="eastAsia" w:ascii="仿宋_GB2312"/>
          <w:b w:val="0"/>
          <w:bCs w:val="0"/>
          <w:sz w:val="32"/>
          <w:szCs w:val="32"/>
          <w:u w:val="none"/>
        </w:rPr>
        <w:t>平方公里，是为</w:t>
      </w:r>
      <w:r>
        <w:rPr>
          <w:rFonts w:hint="eastAsia"/>
          <w:b w:val="0"/>
          <w:bCs w:val="0"/>
          <w:sz w:val="32"/>
          <w:szCs w:val="32"/>
          <w:u w:val="none"/>
        </w:rPr>
        <w:t>完善</w:t>
      </w:r>
      <w:r>
        <w:rPr>
          <w:rFonts w:hint="eastAsia" w:ascii="仿宋_GB2312"/>
          <w:b w:val="0"/>
          <w:bCs w:val="0"/>
          <w:sz w:val="32"/>
          <w:szCs w:val="32"/>
          <w:u w:val="none"/>
        </w:rPr>
        <w:t>城镇功能、提升人居环境品质、保持城镇开发边界的完整性而划入城镇开发边界内的重点地区，主要包括集中连片建成区内部河流水系、公园绿地等蓝绿空间。特别用途区原则上禁止任何城镇集中建设行为，原则上不得新增除市政基础设施、交通基础设施、生态修复工程、必要的配套及游憩设施外的其他城镇建设用地。</w:t>
      </w:r>
      <w:r>
        <w:rPr>
          <w:rFonts w:ascii="仿宋_GB2312"/>
          <w:b w:val="0"/>
          <w:bCs w:val="0"/>
          <w:sz w:val="32"/>
          <w:szCs w:val="32"/>
          <w:u w:val="none"/>
        </w:rPr>
        <w:t>城镇开发边界禁止性、限制性管控要求详见专栏</w:t>
      </w:r>
      <w:r>
        <w:rPr>
          <w:rFonts w:hint="eastAsia"/>
          <w:b w:val="0"/>
          <w:bCs w:val="0"/>
          <w:sz w:val="32"/>
          <w:szCs w:val="32"/>
          <w:u w:val="none"/>
        </w:rPr>
        <w:t>4</w:t>
      </w:r>
      <w:r>
        <w:rPr>
          <w:rFonts w:ascii="仿宋_GB2312"/>
          <w:b w:val="0"/>
          <w:bCs w:val="0"/>
          <w:sz w:val="32"/>
          <w:szCs w:val="32"/>
          <w:u w:val="none"/>
        </w:rPr>
        <w:t>-</w:t>
      </w:r>
      <w:r>
        <w:rPr>
          <w:b w:val="0"/>
          <w:bCs w:val="0"/>
          <w:sz w:val="32"/>
          <w:szCs w:val="32"/>
          <w:u w:val="none"/>
        </w:rPr>
        <w:t>1</w:t>
      </w:r>
      <w:r>
        <w:rPr>
          <w:rFonts w:ascii="仿宋_GB2312"/>
          <w:b w:val="0"/>
          <w:bCs w:val="0"/>
          <w:sz w:val="32"/>
          <w:szCs w:val="32"/>
          <w:u w:val="none"/>
        </w:rPr>
        <w:t>。</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8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2"/>
            <w:tcBorders>
              <w:top w:val="single" w:color="auto" w:sz="4" w:space="0"/>
              <w:left w:val="single" w:color="auto" w:sz="4" w:space="0"/>
              <w:bottom w:val="single" w:color="auto" w:sz="4" w:space="0"/>
              <w:right w:val="single" w:color="auto" w:sz="4" w:space="0"/>
            </w:tcBorders>
            <w:shd w:val="clear" w:color="auto" w:fill="D9D9D9"/>
            <w:noWrap w:val="0"/>
            <w:vAlign w:val="center"/>
          </w:tcPr>
          <w:p>
            <w:pPr>
              <w:spacing w:before="46" w:after="46"/>
              <w:ind w:firstLine="0" w:firstLineChars="0"/>
              <w:jc w:val="center"/>
              <w:rPr>
                <w:rFonts w:eastAsia="黑体" w:cs="Times New Roman"/>
                <w:b w:val="0"/>
                <w:bCs w:val="0"/>
                <w:kern w:val="0"/>
                <w:sz w:val="32"/>
                <w:szCs w:val="32"/>
                <w:u w:val="none"/>
              </w:rPr>
            </w:pPr>
            <w:r>
              <w:rPr>
                <w:rFonts w:eastAsia="黑体" w:cs="Times New Roman"/>
                <w:b w:val="0"/>
                <w:bCs w:val="0"/>
                <w:kern w:val="0"/>
                <w:sz w:val="32"/>
                <w:szCs w:val="32"/>
                <w:u w:val="none"/>
              </w:rPr>
              <w:t>专栏4-1：</w:t>
            </w:r>
            <w:r>
              <w:rPr>
                <w:rFonts w:hint="eastAsia" w:eastAsia="黑体" w:cs="Times New Roman"/>
                <w:b w:val="0"/>
                <w:bCs w:val="0"/>
                <w:kern w:val="0"/>
                <w:sz w:val="32"/>
                <w:szCs w:val="32"/>
                <w:u w:val="none"/>
              </w:rPr>
              <w:t>“三条控制线”禁止性、限制性管控要求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pPr>
              <w:pStyle w:val="8"/>
              <w:rPr>
                <w:b w:val="0"/>
                <w:bCs w:val="0"/>
                <w:sz w:val="24"/>
                <w:szCs w:val="24"/>
                <w:u w:val="none"/>
              </w:rPr>
            </w:pPr>
            <w:r>
              <w:rPr>
                <w:rFonts w:hint="eastAsia"/>
                <w:b w:val="0"/>
                <w:bCs w:val="0"/>
                <w:sz w:val="24"/>
                <w:szCs w:val="24"/>
                <w:u w:val="none"/>
              </w:rPr>
              <w:t>耕地和永久基本农田</w:t>
            </w:r>
          </w:p>
        </w:tc>
        <w:tc>
          <w:tcPr>
            <w:tcW w:w="8422" w:type="dxa"/>
            <w:tcBorders>
              <w:top w:val="single" w:color="auto" w:sz="4" w:space="0"/>
              <w:left w:val="single" w:color="auto" w:sz="4" w:space="0"/>
              <w:bottom w:val="single" w:color="auto" w:sz="4" w:space="0"/>
              <w:right w:val="single" w:color="auto" w:sz="4" w:space="0"/>
            </w:tcBorders>
            <w:noWrap w:val="0"/>
            <w:vAlign w:val="top"/>
          </w:tcPr>
          <w:p>
            <w:pPr>
              <w:pStyle w:val="61"/>
              <w:ind w:firstLine="480"/>
              <w:rPr>
                <w:b w:val="0"/>
                <w:bCs w:val="0"/>
                <w:sz w:val="24"/>
                <w:szCs w:val="24"/>
                <w:u w:val="none"/>
              </w:rPr>
            </w:pPr>
            <w:r>
              <w:rPr>
                <w:rFonts w:hint="eastAsia"/>
                <w:b w:val="0"/>
                <w:bCs w:val="0"/>
                <w:sz w:val="24"/>
                <w:szCs w:val="24"/>
                <w:u w:val="none"/>
              </w:rPr>
              <w:t>严守耕地保护红线，严格控制耕地转为非耕地。非农业建设必须节约使用土地，尽量不占或者少占耕地。非农业建设经批准占用耕地的，按照“占多少，垦多少”的原则，由占用耕地的单位负责补充与所占用耕地数量和质量相当的耕地。严格控制耕地转为林地、草地、园地、农业设施建设用地。因农业结构调整、农业设施建设等，确需将永久基本农田以外的耕地转为其他农用地的，应当按照“出多少，进多少”的原则，通过将其他农用地整治为耕地等方式，补充同等数量质量的耕地。</w:t>
            </w:r>
          </w:p>
          <w:p>
            <w:pPr>
              <w:pStyle w:val="61"/>
              <w:ind w:firstLine="480"/>
              <w:rPr>
                <w:b w:val="0"/>
                <w:bCs w:val="0"/>
                <w:sz w:val="24"/>
                <w:szCs w:val="24"/>
                <w:u w:val="none"/>
              </w:rPr>
            </w:pPr>
            <w:r>
              <w:rPr>
                <w:rFonts w:hint="eastAsia"/>
                <w:b w:val="0"/>
                <w:bCs w:val="0"/>
                <w:sz w:val="24"/>
                <w:szCs w:val="24"/>
                <w:u w:val="none"/>
              </w:rPr>
              <w:t>永久基本农田一经划定，不得擅自占用或者改变用途。永久基本农田不得转为林地、草地、园地等其他农用地及农业设施建设用地。国家能源、交通、水利、军事设施等重点建设项目选址确实难以避让永久基本农田的，涉及农用地转用或者土地征收的，必须经国务院批准，并依法依规补划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pPr>
              <w:pStyle w:val="8"/>
              <w:rPr>
                <w:b w:val="0"/>
                <w:bCs w:val="0"/>
                <w:sz w:val="24"/>
                <w:szCs w:val="24"/>
                <w:u w:val="none"/>
              </w:rPr>
            </w:pPr>
            <w:r>
              <w:rPr>
                <w:rFonts w:hint="eastAsia"/>
                <w:b w:val="0"/>
                <w:bCs w:val="0"/>
                <w:sz w:val="24"/>
                <w:szCs w:val="24"/>
                <w:u w:val="none"/>
              </w:rPr>
              <w:t>生态保护红线</w:t>
            </w:r>
          </w:p>
        </w:tc>
        <w:tc>
          <w:tcPr>
            <w:tcW w:w="8422" w:type="dxa"/>
            <w:tcBorders>
              <w:top w:val="single" w:color="auto" w:sz="4" w:space="0"/>
              <w:left w:val="single" w:color="auto" w:sz="4" w:space="0"/>
              <w:bottom w:val="single" w:color="auto" w:sz="4" w:space="0"/>
              <w:right w:val="single" w:color="auto" w:sz="4" w:space="0"/>
            </w:tcBorders>
            <w:noWrap w:val="0"/>
            <w:vAlign w:val="top"/>
          </w:tcPr>
          <w:p>
            <w:pPr>
              <w:pStyle w:val="61"/>
              <w:ind w:firstLine="480"/>
              <w:rPr>
                <w:b w:val="0"/>
                <w:bCs w:val="0"/>
                <w:sz w:val="24"/>
                <w:szCs w:val="24"/>
                <w:u w:val="none"/>
              </w:rPr>
            </w:pPr>
            <w:r>
              <w:rPr>
                <w:rFonts w:hint="eastAsia"/>
                <w:b w:val="0"/>
                <w:bCs w:val="0"/>
                <w:sz w:val="24"/>
                <w:szCs w:val="24"/>
                <w:u w:val="none"/>
              </w:rPr>
              <w:t>规范管控有限人为活动。生态保护红线内自然保护地核心保护区外，禁止开发性、生产性建设活动，在符合法律法规的前提下，仅允许对生态功能不造成破坏的有限人为活动。符合规定的生态保护红线管控范围内有限人为活动，涉及新增建设用地、用海用岛审批的，在报批农用地转用、土地征收、海域使用权、无居民海岛开发利用时，需附省级人民政府出具符合生态保护红线内允许有限人为活动的认定意见。</w:t>
            </w:r>
          </w:p>
          <w:p>
            <w:pPr>
              <w:pStyle w:val="61"/>
              <w:ind w:firstLine="480"/>
              <w:rPr>
                <w:b w:val="0"/>
                <w:bCs w:val="0"/>
                <w:sz w:val="24"/>
                <w:szCs w:val="24"/>
                <w:u w:val="none"/>
              </w:rPr>
            </w:pPr>
            <w:r>
              <w:rPr>
                <w:rFonts w:hint="eastAsia"/>
                <w:b w:val="0"/>
                <w:bCs w:val="0"/>
                <w:sz w:val="24"/>
                <w:szCs w:val="24"/>
                <w:u w:val="none"/>
              </w:rPr>
              <w:t>规范国家重大项目占用审批。有限人为活动之外，仅允许国家重大项目占用生态保护红线。涉及生态保护红线的国家重大项目须报国务院批准，且需附省级人民政府出具的不可避让论证意见。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pPr>
              <w:pStyle w:val="8"/>
              <w:rPr>
                <w:b w:val="0"/>
                <w:bCs w:val="0"/>
                <w:sz w:val="24"/>
                <w:szCs w:val="24"/>
                <w:u w:val="none"/>
              </w:rPr>
            </w:pPr>
            <w:r>
              <w:rPr>
                <w:rFonts w:hint="eastAsia"/>
                <w:b w:val="0"/>
                <w:bCs w:val="0"/>
                <w:sz w:val="24"/>
                <w:szCs w:val="24"/>
                <w:u w:val="none"/>
              </w:rPr>
              <w:t>城镇开发边界</w:t>
            </w:r>
          </w:p>
        </w:tc>
        <w:tc>
          <w:tcPr>
            <w:tcW w:w="8422" w:type="dxa"/>
            <w:tcBorders>
              <w:top w:val="single" w:color="auto" w:sz="4" w:space="0"/>
              <w:left w:val="single" w:color="auto" w:sz="4" w:space="0"/>
              <w:bottom w:val="single" w:color="auto" w:sz="4" w:space="0"/>
              <w:right w:val="single" w:color="auto" w:sz="4" w:space="0"/>
            </w:tcBorders>
            <w:noWrap w:val="0"/>
            <w:vAlign w:val="top"/>
          </w:tcPr>
          <w:p>
            <w:pPr>
              <w:pStyle w:val="61"/>
              <w:ind w:firstLine="480"/>
              <w:rPr>
                <w:rFonts w:hint="eastAsia"/>
                <w:b w:val="0"/>
                <w:bCs w:val="0"/>
                <w:sz w:val="24"/>
                <w:szCs w:val="24"/>
                <w:u w:val="none"/>
              </w:rPr>
            </w:pPr>
            <w:r>
              <w:rPr>
                <w:rFonts w:hint="eastAsia"/>
                <w:b w:val="0"/>
                <w:bCs w:val="0"/>
                <w:sz w:val="24"/>
                <w:szCs w:val="24"/>
                <w:u w:val="none"/>
              </w:rPr>
              <w:t>城镇开发边界内，各类建设活动严格实行用途管制，按照规划用途依法办理有关手续，并加强与水体保护线、绿地系统线、基础设施建设控制线、历史文化保护线等协同管控。严格城镇开发边界外的空间准入，不得进行城镇集中建设，不得设立各类开发区。</w:t>
            </w:r>
          </w:p>
        </w:tc>
      </w:tr>
    </w:tbl>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城镇开发边界外的有居民海岛在符合</w:t>
      </w:r>
      <w:r>
        <w:rPr>
          <w:rFonts w:hint="eastAsia"/>
          <w:b w:val="0"/>
          <w:bCs w:val="0"/>
          <w:sz w:val="32"/>
          <w:szCs w:val="32"/>
          <w:u w:val="none"/>
        </w:rPr>
        <w:t>相关</w:t>
      </w:r>
      <w:r>
        <w:rPr>
          <w:rFonts w:hint="eastAsia" w:ascii="仿宋_GB2312" w:hAnsi="仿宋" w:cs="Times New Roman"/>
          <w:b w:val="0"/>
          <w:bCs w:val="0"/>
          <w:kern w:val="0"/>
          <w:sz w:val="32"/>
          <w:szCs w:val="32"/>
          <w:u w:val="none"/>
        </w:rPr>
        <w:t>规定的前提下，可安排建设用地指标，以应对海岛开发建设的不确定性。</w:t>
      </w:r>
    </w:p>
    <w:p>
      <w:pPr>
        <w:pStyle w:val="81"/>
        <w:keepNext w:val="0"/>
        <w:keepLines w:val="0"/>
        <w:pageBreakBefore w:val="0"/>
        <w:widowControl w:val="0"/>
        <w:kinsoku/>
        <w:wordWrap/>
        <w:overflowPunct/>
        <w:topLinePunct w:val="0"/>
        <w:autoSpaceDE/>
        <w:autoSpaceDN/>
        <w:bidi w:val="0"/>
        <w:adjustRightInd/>
        <w:snapToGrid/>
        <w:spacing w:before="470" w:beforeLines="80" w:after="470" w:afterLines="80" w:line="579" w:lineRule="exact"/>
        <w:ind w:firstLine="403"/>
        <w:textAlignment w:val="auto"/>
        <w:rPr>
          <w:b w:val="0"/>
          <w:bCs w:val="0"/>
          <w:sz w:val="32"/>
          <w:szCs w:val="32"/>
          <w:u w:val="none"/>
        </w:rPr>
      </w:pPr>
      <w:bookmarkStart w:id="42" w:name="_Toc21984"/>
      <w:r>
        <w:rPr>
          <w:b w:val="0"/>
          <w:bCs w:val="0"/>
          <w:sz w:val="32"/>
          <w:szCs w:val="32"/>
          <w:u w:val="none"/>
        </w:rPr>
        <w:t>开发保护总体格局</w:t>
      </w:r>
      <w:bookmarkEnd w:id="42"/>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43" w:name="_Toc30467"/>
      <w:bookmarkStart w:id="44" w:name="_Toc130822906"/>
      <w:r>
        <w:rPr>
          <w:b w:val="0"/>
          <w:bCs w:val="0"/>
          <w:sz w:val="32"/>
          <w:szCs w:val="32"/>
          <w:u w:val="none"/>
        </w:rPr>
        <w:t>落实</w:t>
      </w:r>
      <w:r>
        <w:rPr>
          <w:rFonts w:hint="eastAsia"/>
          <w:b w:val="0"/>
          <w:bCs w:val="0"/>
          <w:sz w:val="32"/>
          <w:szCs w:val="32"/>
          <w:u w:val="none"/>
        </w:rPr>
        <w:t>主体</w:t>
      </w:r>
      <w:r>
        <w:rPr>
          <w:b w:val="0"/>
          <w:bCs w:val="0"/>
          <w:sz w:val="32"/>
          <w:szCs w:val="32"/>
          <w:u w:val="none"/>
        </w:rPr>
        <w:t>功能区格局</w:t>
      </w:r>
      <w:bookmarkEnd w:id="43"/>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eastAsia="宋体"/>
          <w:b w:val="0"/>
          <w:bCs w:val="0"/>
          <w:sz w:val="32"/>
          <w:szCs w:val="32"/>
          <w:u w:val="none"/>
          <w:lang w:val="zh-CN"/>
        </w:rPr>
      </w:pPr>
      <w:r>
        <w:rPr>
          <w:rFonts w:hint="eastAsia" w:ascii="仿宋_GB2312" w:hAnsi="仿宋"/>
          <w:b w:val="0"/>
          <w:bCs w:val="0"/>
          <w:sz w:val="32"/>
          <w:szCs w:val="32"/>
          <w:u w:val="none"/>
        </w:rPr>
        <w:t>珠海全域均属于国家级城市化地区。</w:t>
      </w:r>
      <w:r>
        <w:rPr>
          <w:rFonts w:hint="eastAsia" w:ascii="仿宋_GB2312"/>
          <w:b w:val="0"/>
          <w:bCs w:val="0"/>
          <w:sz w:val="32"/>
          <w:szCs w:val="32"/>
          <w:u w:val="none"/>
        </w:rPr>
        <w:t>原则上优先布局重大产业项目，结合环境容量实施差别化污染物排放标准和总量控制指标，重点考核经济高质量发展、人居环境改善等指标。建立面向产业创新和民生配套发展需要的资源配置机制，推动城市更新，精准投放增量资源，优先满足重点产业平台、重大项目与民生设施空间需求。</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45" w:name="_Toc8449"/>
      <w:r>
        <w:rPr>
          <w:rFonts w:hint="eastAsia"/>
          <w:b w:val="0"/>
          <w:bCs w:val="0"/>
          <w:sz w:val="32"/>
          <w:szCs w:val="32"/>
          <w:u w:val="none"/>
        </w:rPr>
        <w:t>构建“两心两轴六片”的国土空间开发利用格局</w:t>
      </w:r>
      <w:bookmarkEnd w:id="45"/>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“两心”：指东部市级综合服务中心和西部市级综合服务中心。完善东西“双城”架构，推进东部地区提质提级、西部地区增速增量，加强“双城”联动融合，</w:t>
      </w:r>
      <w:r>
        <w:rPr>
          <w:rFonts w:hint="eastAsia"/>
          <w:b w:val="0"/>
          <w:bCs w:val="0"/>
          <w:sz w:val="32"/>
          <w:szCs w:val="32"/>
          <w:u w:val="none"/>
        </w:rPr>
        <w:t>推进</w:t>
      </w:r>
      <w:r>
        <w:rPr>
          <w:rFonts w:hint="eastAsia" w:ascii="仿宋_GB2312"/>
          <w:b w:val="0"/>
          <w:bCs w:val="0"/>
          <w:sz w:val="32"/>
          <w:szCs w:val="32"/>
          <w:u w:val="none"/>
        </w:rPr>
        <w:t>全市域协调发展。东部地区以新技术、新产业打造新引擎新高度，持续提升城市空间品质，建设全市行政文化中心。西部地区以大空间、大投入牵引大项目大产业，以机场、港口、高铁重大基础设施实现大通畅、激活大发展，加快建设全市经济中心和产业交通物流中心，打造区域中心城市的脊梁。携手澳门，共建“澳珠极点”，引领粤港澳大湾区建设国际一流湾区和世界一流城市群。</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“两轴”：指依托对接深中通道和对接港珠澳大桥的战略通道，建设与区域和城市产业紧密衔接、</w:t>
      </w:r>
      <w:r>
        <w:rPr>
          <w:rFonts w:hint="eastAsia"/>
          <w:b w:val="0"/>
          <w:bCs w:val="0"/>
          <w:sz w:val="32"/>
          <w:szCs w:val="32"/>
          <w:u w:val="none"/>
        </w:rPr>
        <w:t>高效</w:t>
      </w:r>
      <w:r>
        <w:rPr>
          <w:rFonts w:hint="eastAsia" w:ascii="仿宋_GB2312"/>
          <w:b w:val="0"/>
          <w:bCs w:val="0"/>
          <w:sz w:val="32"/>
          <w:szCs w:val="32"/>
          <w:u w:val="none"/>
        </w:rPr>
        <w:t>联动的经济走廊，建成高品质城市发展轴带。辐射带动珠江西岸加快发展、促进东西两岸融合互动，与广东省沿海地区共同打造世界级沿海经济带。</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“六片”：指坚持四级空间架构，优化城市发展格局，建设高质量发展的六大片区。围绕促进澳门经济适度多元</w:t>
      </w:r>
      <w:r>
        <w:rPr>
          <w:rFonts w:hint="eastAsia"/>
          <w:b w:val="0"/>
          <w:bCs w:val="0"/>
          <w:sz w:val="32"/>
          <w:szCs w:val="32"/>
          <w:u w:val="none"/>
        </w:rPr>
        <w:t>发展</w:t>
      </w:r>
      <w:r>
        <w:rPr>
          <w:rFonts w:hint="eastAsia" w:ascii="仿宋_GB2312"/>
          <w:b w:val="0"/>
          <w:bCs w:val="0"/>
          <w:sz w:val="32"/>
          <w:szCs w:val="32"/>
          <w:u w:val="none"/>
        </w:rPr>
        <w:t>的主线，全力支持服务横琴粤澳深度合作区建设。香洲区加快完善提升东部综合服务中心，积极推动老城更新提质，更好发挥中心城区的功能作用。鹤洲新区（筹）建设港珠澳合作新高地，高标准推进“洪保十”地区建设，推进海洋空间综合开发利用。高新区打造全市创新发展主阵地，建设面向未来的创新中枢。金湾区聚力打造西部综合服务中心，建设服务国内国际双循环的枢纽门户、产城融合的经济产业中心、交通物流中心和区域消费中心。斗门区打造城乡融合发展主阵地，依托鹤洲高铁枢纽带动、加快提升全区经济发展水平。</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46" w:name="_Toc24900"/>
      <w:r>
        <w:rPr>
          <w:rFonts w:hint="eastAsia"/>
          <w:b w:val="0"/>
          <w:bCs w:val="0"/>
          <w:sz w:val="32"/>
          <w:szCs w:val="32"/>
          <w:u w:val="none"/>
        </w:rPr>
        <w:t>构建“一链三核全网”的国土空间保护格局</w:t>
      </w:r>
      <w:bookmarkEnd w:id="46"/>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“一链”：指串联五大口门、沿海防护林、滨海湿地红树林、海湾及百岛共同构成珠海南部海洋生态保护链，作为</w:t>
      </w:r>
      <w:r>
        <w:rPr>
          <w:rFonts w:hint="eastAsia"/>
          <w:b w:val="0"/>
          <w:bCs w:val="0"/>
          <w:sz w:val="32"/>
          <w:szCs w:val="32"/>
          <w:u w:val="none"/>
        </w:rPr>
        <w:t>广东省</w:t>
      </w:r>
      <w:r>
        <w:rPr>
          <w:rFonts w:hint="eastAsia" w:ascii="仿宋_GB2312" w:hAnsi="仿宋" w:cs="Times New Roman"/>
          <w:b w:val="0"/>
          <w:bCs w:val="0"/>
          <w:kern w:val="0"/>
          <w:sz w:val="32"/>
          <w:szCs w:val="32"/>
          <w:u w:val="none"/>
        </w:rPr>
        <w:t>南部海洋生态保护链的重要组成部分，与港澳、深圳、中山、江门共建大湾区生态纽带，是珠海推进粤港澳大湾区生态环境共治、优质生活圈共享的关键抓手。</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三核”：指黄杨山-斗门生态农业园-西部中央大田园、黑白面将军山、凤凰山三大生态核心区。黄杨山、黑白面将军山与凤凰山是珠海公益林、天然林分布最为集中的片区，起到保障区域生态系统稳定的作用，是珠海贯彻落实绿美广东生态建设的重要承载空间。斗门生态农业园、西部中央大田园重点促进耕地和永久基本农田集中连片保护，引导生态绿地与稳定耕地融合布局。</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宋体" w:hAnsi="宋体" w:eastAsia="黑体" w:cs="Times New Roman"/>
          <w:b w:val="0"/>
          <w:bCs w:val="0"/>
          <w:spacing w:val="-11"/>
          <w:sz w:val="32"/>
          <w:szCs w:val="32"/>
          <w:u w:val="none"/>
        </w:rPr>
      </w:pPr>
      <w:r>
        <w:rPr>
          <w:rFonts w:hint="eastAsia" w:ascii="仿宋_GB2312" w:hAnsi="仿宋" w:cs="Times New Roman"/>
          <w:b w:val="0"/>
          <w:bCs w:val="0"/>
          <w:spacing w:val="-11"/>
          <w:kern w:val="0"/>
          <w:sz w:val="32"/>
          <w:szCs w:val="32"/>
          <w:u w:val="none"/>
        </w:rPr>
        <w:t>“全网”：指西江水系、高快速路防护绿带等陆海主要生态廊道，结合碧道、绿道、古驿道等特色线性廊道，形成通山达海的生态廊道网络。西江水系生态廊道网络作为广东省生态廊道网络的重要组成部分，重点保障区域生态连通及陆海生态安全。以高快速绿带网络为主骨架，彰显珠海组团型城市特色。以“全网”串联城乡公园绿地、农田集聚区、广场、景区、历史文化遗产和民生公共服务设施，构建大生态空间体系。</w:t>
      </w:r>
      <w:bookmarkEnd w:id="44"/>
    </w:p>
    <w:p>
      <w:pPr>
        <w:pStyle w:val="81"/>
        <w:keepNext w:val="0"/>
        <w:keepLines w:val="0"/>
        <w:pageBreakBefore w:val="0"/>
        <w:widowControl w:val="0"/>
        <w:kinsoku/>
        <w:wordWrap/>
        <w:overflowPunct/>
        <w:topLinePunct w:val="0"/>
        <w:autoSpaceDE/>
        <w:autoSpaceDN/>
        <w:bidi w:val="0"/>
        <w:adjustRightInd/>
        <w:snapToGrid/>
        <w:spacing w:before="470" w:beforeLines="80" w:after="470" w:afterLines="80" w:line="579" w:lineRule="exact"/>
        <w:ind w:firstLine="403"/>
        <w:textAlignment w:val="auto"/>
        <w:rPr>
          <w:b w:val="0"/>
          <w:bCs w:val="0"/>
          <w:sz w:val="32"/>
          <w:szCs w:val="32"/>
          <w:u w:val="none"/>
        </w:rPr>
      </w:pPr>
      <w:bookmarkStart w:id="47" w:name="_Toc29306"/>
      <w:r>
        <w:rPr>
          <w:b w:val="0"/>
          <w:bCs w:val="0"/>
          <w:sz w:val="32"/>
          <w:szCs w:val="32"/>
          <w:u w:val="none"/>
        </w:rPr>
        <w:t>国土空间规划分区</w:t>
      </w:r>
      <w:bookmarkEnd w:id="47"/>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48" w:name="_Toc25294"/>
      <w:r>
        <w:rPr>
          <w:b w:val="0"/>
          <w:bCs w:val="0"/>
          <w:sz w:val="32"/>
          <w:szCs w:val="32"/>
          <w:u w:val="none"/>
        </w:rPr>
        <w:t>划定</w:t>
      </w:r>
      <w:r>
        <w:rPr>
          <w:rFonts w:hint="eastAsia"/>
          <w:b w:val="0"/>
          <w:bCs w:val="0"/>
          <w:sz w:val="32"/>
          <w:szCs w:val="32"/>
          <w:u w:val="none"/>
        </w:rPr>
        <w:t>市域</w:t>
      </w:r>
      <w:r>
        <w:rPr>
          <w:b w:val="0"/>
          <w:bCs w:val="0"/>
          <w:sz w:val="32"/>
          <w:szCs w:val="32"/>
          <w:u w:val="none"/>
        </w:rPr>
        <w:t>规划分区</w:t>
      </w:r>
      <w:bookmarkEnd w:id="48"/>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为进一步落实和深化主体功能区战略，充分衔接三条控制线，将珠海市域划分为生态保护区、生态控制区、农田保护区、城镇发展区、乡村发展区、海洋发展区等</w:t>
      </w:r>
      <w:r>
        <w:rPr>
          <w:rFonts w:cs="Times New Roman"/>
          <w:b w:val="0"/>
          <w:bCs w:val="0"/>
          <w:kern w:val="0"/>
          <w:sz w:val="32"/>
          <w:szCs w:val="32"/>
          <w:u w:val="none"/>
        </w:rPr>
        <w:t>6</w:t>
      </w:r>
      <w:r>
        <w:rPr>
          <w:rFonts w:ascii="仿宋_GB2312" w:hAnsi="仿宋" w:cs="Times New Roman"/>
          <w:b w:val="0"/>
          <w:bCs w:val="0"/>
          <w:kern w:val="0"/>
          <w:sz w:val="32"/>
          <w:szCs w:val="32"/>
          <w:u w:val="none"/>
        </w:rPr>
        <w:t>类一级规划分区。</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生态保护区是具有特殊重要生态功能或生态敏感脆弱、必须强制性严格保护的陆地和海洋自然区域。空间范围与生态保护红线一致，按照国家关于生态保护红线的相关规定进行管理。</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生态控制区是生态保护红线外需要予以保留原貌、强化生态保育和生态建设、限制开发建设的陆地和海洋自然区域。生态控制区原则上限制各类新增开发建设行为，区内兼容生态保护红线准入活动，经评价在对生态环境不产生破坏的前提下，可适当准入如下建设：（</w:t>
      </w:r>
      <w:r>
        <w:rPr>
          <w:rFonts w:cs="Times New Roman"/>
          <w:b w:val="0"/>
          <w:bCs w:val="0"/>
          <w:kern w:val="0"/>
          <w:sz w:val="32"/>
          <w:szCs w:val="32"/>
          <w:u w:val="none"/>
        </w:rPr>
        <w:t>1</w:t>
      </w:r>
      <w:r>
        <w:rPr>
          <w:rFonts w:ascii="仿宋_GB2312" w:hAnsi="仿宋" w:cs="Times New Roman"/>
          <w:b w:val="0"/>
          <w:bCs w:val="0"/>
          <w:kern w:val="0"/>
          <w:sz w:val="32"/>
          <w:szCs w:val="32"/>
          <w:u w:val="none"/>
        </w:rPr>
        <w:t>）基础设施用地，包括能源、交通（含城市道路）、水利、通信、邮政等基础设施；（</w:t>
      </w:r>
      <w:r>
        <w:rPr>
          <w:rFonts w:cs="Times New Roman"/>
          <w:b w:val="0"/>
          <w:bCs w:val="0"/>
          <w:kern w:val="0"/>
          <w:sz w:val="32"/>
          <w:szCs w:val="32"/>
          <w:u w:val="none"/>
        </w:rPr>
        <w:t>2</w:t>
      </w:r>
      <w:r>
        <w:rPr>
          <w:rFonts w:ascii="仿宋_GB2312" w:hAnsi="仿宋" w:cs="Times New Roman"/>
          <w:b w:val="0"/>
          <w:bCs w:val="0"/>
          <w:kern w:val="0"/>
          <w:sz w:val="32"/>
          <w:szCs w:val="32"/>
          <w:u w:val="none"/>
        </w:rPr>
        <w:t>）特殊用地，包括军事及安全保密、宗教、文物古迹、监教场所、殡葬、自然保护地管理与服务设施用地等；（</w:t>
      </w:r>
      <w:r>
        <w:rPr>
          <w:rFonts w:cs="Times New Roman"/>
          <w:b w:val="0"/>
          <w:bCs w:val="0"/>
          <w:kern w:val="0"/>
          <w:sz w:val="32"/>
          <w:szCs w:val="32"/>
          <w:u w:val="none"/>
        </w:rPr>
        <w:t>3</w:t>
      </w:r>
      <w:r>
        <w:rPr>
          <w:rFonts w:ascii="仿宋_GB2312" w:hAnsi="仿宋" w:cs="Times New Roman"/>
          <w:b w:val="0"/>
          <w:bCs w:val="0"/>
          <w:kern w:val="0"/>
          <w:sz w:val="32"/>
          <w:szCs w:val="32"/>
          <w:u w:val="none"/>
        </w:rPr>
        <w:t>）公益设施用地，包括科技、教育、文化、卫生、体育、生态环境和资源保护、防灾减灾、文物保护、社会福利</w:t>
      </w:r>
      <w:r>
        <w:rPr>
          <w:rFonts w:hint="eastAsia" w:ascii="仿宋_GB2312" w:hAnsi="仿宋" w:cs="Times New Roman"/>
          <w:b w:val="0"/>
          <w:bCs w:val="0"/>
          <w:kern w:val="0"/>
          <w:sz w:val="32"/>
          <w:szCs w:val="32"/>
          <w:u w:val="none"/>
        </w:rPr>
        <w:t>、市政公用、优抚安置、英烈保护等；（</w:t>
      </w:r>
      <w:r>
        <w:rPr>
          <w:rFonts w:cs="Times New Roman"/>
          <w:b w:val="0"/>
          <w:bCs w:val="0"/>
          <w:kern w:val="0"/>
          <w:sz w:val="32"/>
          <w:szCs w:val="32"/>
          <w:u w:val="none"/>
        </w:rPr>
        <w:t>4</w:t>
      </w:r>
      <w:r>
        <w:rPr>
          <w:rFonts w:ascii="仿宋_GB2312" w:hAnsi="仿宋" w:cs="Times New Roman"/>
          <w:b w:val="0"/>
          <w:bCs w:val="0"/>
          <w:kern w:val="0"/>
          <w:sz w:val="32"/>
          <w:szCs w:val="32"/>
          <w:u w:val="none"/>
        </w:rPr>
        <w:t>）绿地与开敞空间用地，包括公园绿地、防护绿地，适度的广场用地；（</w:t>
      </w:r>
      <w:r>
        <w:rPr>
          <w:rFonts w:cs="Times New Roman"/>
          <w:b w:val="0"/>
          <w:bCs w:val="0"/>
          <w:kern w:val="0"/>
          <w:sz w:val="32"/>
          <w:szCs w:val="32"/>
          <w:u w:val="none"/>
        </w:rPr>
        <w:t>5</w:t>
      </w:r>
      <w:r>
        <w:rPr>
          <w:rFonts w:ascii="仿宋_GB2312" w:hAnsi="仿宋" w:cs="Times New Roman"/>
          <w:b w:val="0"/>
          <w:bCs w:val="0"/>
          <w:kern w:val="0"/>
          <w:sz w:val="32"/>
          <w:szCs w:val="32"/>
          <w:u w:val="none"/>
        </w:rPr>
        <w:t>）郊野公园、风景游览等场所的配套服务设施；（</w:t>
      </w:r>
      <w:r>
        <w:rPr>
          <w:rFonts w:cs="Times New Roman"/>
          <w:b w:val="0"/>
          <w:bCs w:val="0"/>
          <w:kern w:val="0"/>
          <w:sz w:val="32"/>
          <w:szCs w:val="32"/>
          <w:u w:val="none"/>
        </w:rPr>
        <w:t>6</w:t>
      </w:r>
      <w:r>
        <w:rPr>
          <w:rFonts w:ascii="仿宋_GB2312" w:hAnsi="仿宋" w:cs="Times New Roman"/>
          <w:b w:val="0"/>
          <w:bCs w:val="0"/>
          <w:kern w:val="0"/>
          <w:sz w:val="32"/>
          <w:szCs w:val="32"/>
          <w:u w:val="none"/>
        </w:rPr>
        <w:t>）其他必要的服务设施和城镇民生保障项目等用地；（</w:t>
      </w:r>
      <w:r>
        <w:rPr>
          <w:rFonts w:cs="Times New Roman"/>
          <w:b w:val="0"/>
          <w:bCs w:val="0"/>
          <w:kern w:val="0"/>
          <w:sz w:val="32"/>
          <w:szCs w:val="32"/>
          <w:u w:val="none"/>
        </w:rPr>
        <w:t>7</w:t>
      </w:r>
      <w:r>
        <w:rPr>
          <w:rFonts w:ascii="仿宋_GB2312" w:hAnsi="仿宋" w:cs="Times New Roman"/>
          <w:b w:val="0"/>
          <w:bCs w:val="0"/>
          <w:kern w:val="0"/>
          <w:sz w:val="32"/>
          <w:szCs w:val="32"/>
          <w:u w:val="none"/>
        </w:rPr>
        <w:t>）其他战略储备、民爆仓库和油库、特殊医疗用地等具有邻避要求必须远离建成区布局的设施用地；（</w:t>
      </w:r>
      <w:r>
        <w:rPr>
          <w:rFonts w:cs="Times New Roman"/>
          <w:b w:val="0"/>
          <w:bCs w:val="0"/>
          <w:kern w:val="0"/>
          <w:sz w:val="32"/>
          <w:szCs w:val="32"/>
          <w:u w:val="none"/>
        </w:rPr>
        <w:t>8</w:t>
      </w:r>
      <w:r>
        <w:rPr>
          <w:rFonts w:ascii="仿宋_GB2312" w:hAnsi="仿宋" w:cs="Times New Roman"/>
          <w:b w:val="0"/>
          <w:bCs w:val="0"/>
          <w:kern w:val="0"/>
          <w:sz w:val="32"/>
          <w:szCs w:val="32"/>
          <w:u w:val="none"/>
        </w:rPr>
        <w:t>）必要的海洋科学研究、海洋自然教育、渔业等活动；（</w:t>
      </w:r>
      <w:r>
        <w:rPr>
          <w:rFonts w:hint="eastAsia" w:cs="Times New Roman"/>
          <w:b w:val="0"/>
          <w:bCs w:val="0"/>
          <w:kern w:val="0"/>
          <w:sz w:val="32"/>
          <w:szCs w:val="32"/>
          <w:u w:val="none"/>
        </w:rPr>
        <w:t>9</w:t>
      </w:r>
      <w:r>
        <w:rPr>
          <w:rFonts w:hint="eastAsia" w:ascii="仿宋_GB2312" w:hAnsi="仿宋" w:cs="Times New Roman"/>
          <w:b w:val="0"/>
          <w:bCs w:val="0"/>
          <w:kern w:val="0"/>
          <w:sz w:val="32"/>
          <w:szCs w:val="32"/>
          <w:u w:val="none"/>
        </w:rPr>
        <w:t>）必要的</w:t>
      </w:r>
      <w:r>
        <w:rPr>
          <w:b w:val="0"/>
          <w:bCs w:val="0"/>
          <w:sz w:val="32"/>
          <w:szCs w:val="32"/>
          <w:u w:val="none"/>
        </w:rPr>
        <w:t>采矿用地</w:t>
      </w:r>
      <w:r>
        <w:rPr>
          <w:rFonts w:ascii="仿宋_GB2312" w:hAnsi="仿宋" w:cs="Times New Roman"/>
          <w:b w:val="0"/>
          <w:bCs w:val="0"/>
          <w:kern w:val="0"/>
          <w:sz w:val="32"/>
          <w:szCs w:val="32"/>
          <w:u w:val="none"/>
        </w:rPr>
        <w:t>。</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农田保护区为永久基本农田保护红线控制范围</w:t>
      </w:r>
      <w:r>
        <w:rPr>
          <w:rFonts w:ascii="仿宋_GB2312" w:hAnsi="仿宋" w:cs="Times New Roman"/>
          <w:b w:val="0"/>
          <w:bCs w:val="0"/>
          <w:kern w:val="0"/>
          <w:sz w:val="32"/>
          <w:szCs w:val="32"/>
          <w:u w:val="none"/>
        </w:rPr>
        <w:t>。农田保护区严格按照永久基本农田保护相关法律法规进行管理，从严管控非农建设占用永久基本农田，鼓励开展高标准农田建设和土地整治，提高永久基本农田质量。</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城镇发展区包括城镇开发边界以及为保持城镇发展区完整性、便于规划管理而划入的邻近区域。区内不涉及永久基本农田、生态保护红线，涉及城镇开发</w:t>
      </w:r>
      <w:r>
        <w:rPr>
          <w:rFonts w:hint="eastAsia"/>
          <w:b w:val="0"/>
          <w:bCs w:val="0"/>
          <w:sz w:val="32"/>
          <w:szCs w:val="32"/>
          <w:u w:val="none"/>
        </w:rPr>
        <w:t>边界</w:t>
      </w:r>
      <w:r>
        <w:rPr>
          <w:rFonts w:hint="eastAsia" w:ascii="仿宋_GB2312" w:hAnsi="仿宋" w:cs="Times New Roman"/>
          <w:b w:val="0"/>
          <w:bCs w:val="0"/>
          <w:kern w:val="0"/>
          <w:sz w:val="32"/>
          <w:szCs w:val="32"/>
          <w:u w:val="none"/>
        </w:rPr>
        <w:t>的按照国家相关规定进行管理。</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乡村发展区是满足农业生产、农民生活和生产配套为主的区域。区内应以促进农业和</w:t>
      </w:r>
      <w:r>
        <w:rPr>
          <w:rFonts w:hint="eastAsia"/>
          <w:b w:val="0"/>
          <w:bCs w:val="0"/>
          <w:sz w:val="32"/>
          <w:szCs w:val="32"/>
          <w:u w:val="none"/>
        </w:rPr>
        <w:t>乡村</w:t>
      </w:r>
      <w:r>
        <w:rPr>
          <w:rFonts w:hint="eastAsia" w:ascii="仿宋_GB2312" w:hAnsi="仿宋" w:cs="Times New Roman"/>
          <w:b w:val="0"/>
          <w:bCs w:val="0"/>
          <w:kern w:val="0"/>
          <w:sz w:val="32"/>
          <w:szCs w:val="32"/>
          <w:u w:val="none"/>
        </w:rPr>
        <w:t>特色产业发展、改善农民生产生活条件为导向，统筹协调村庄建设与生态保护。乡村发展区内允许农业和乡村特色产业发展及其配套设施建设，以及为改善农村人居环境而进行的村庄建设与整治，严禁集中连片的城镇开发建设。</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海洋发展区是允许集中开展开发利用活动的海域，以及允许适度开展开发利用活动的无居民海岛。海洋发展区内结合海域使用和管理要求，划定渔业用</w:t>
      </w:r>
      <w:r>
        <w:rPr>
          <w:rFonts w:hint="eastAsia"/>
          <w:b w:val="0"/>
          <w:bCs w:val="0"/>
          <w:sz w:val="32"/>
          <w:szCs w:val="32"/>
          <w:u w:val="none"/>
        </w:rPr>
        <w:t>海区</w:t>
      </w:r>
      <w:r>
        <w:rPr>
          <w:rFonts w:hint="eastAsia" w:ascii="仿宋_GB2312" w:hAnsi="仿宋" w:cs="Times New Roman"/>
          <w:b w:val="0"/>
          <w:bCs w:val="0"/>
          <w:kern w:val="0"/>
          <w:sz w:val="32"/>
          <w:szCs w:val="32"/>
          <w:u w:val="none"/>
        </w:rPr>
        <w:t>、交通运输用海区、工矿通信用海区、游憩用海区、特殊利用区和海洋预留区等六类二级规划分区。海洋发展区内严禁国家产业政策淘汰类、限制类项目在海上布局。</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49" w:name="_Toc6172"/>
      <w:r>
        <w:rPr>
          <w:b w:val="0"/>
          <w:bCs w:val="0"/>
          <w:sz w:val="32"/>
          <w:szCs w:val="32"/>
          <w:u w:val="none"/>
        </w:rPr>
        <w:t>实施国土空间战略留白</w:t>
      </w:r>
      <w:bookmarkEnd w:id="49"/>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做好弹性空间科学预留，应对重大战略性项目选址</w:t>
      </w:r>
      <w:r>
        <w:rPr>
          <w:rFonts w:ascii="仿宋_GB2312" w:hAnsi="仿宋" w:cs="Times New Roman"/>
          <w:b w:val="0"/>
          <w:bCs w:val="0"/>
          <w:kern w:val="0"/>
          <w:sz w:val="32"/>
          <w:szCs w:val="32"/>
          <w:u w:val="none"/>
        </w:rPr>
        <w:t>与城市发展不确定性，通过指标预留、空间预留、功能预留等多种手段做好战略留白。指标预留应当用于基础设施、公共</w:t>
      </w:r>
      <w:r>
        <w:rPr>
          <w:rFonts w:hint="eastAsia"/>
          <w:b w:val="0"/>
          <w:bCs w:val="0"/>
          <w:sz w:val="32"/>
          <w:szCs w:val="32"/>
          <w:u w:val="none"/>
        </w:rPr>
        <w:t>服务</w:t>
      </w:r>
      <w:r>
        <w:rPr>
          <w:rFonts w:ascii="仿宋_GB2312" w:hAnsi="仿宋" w:cs="Times New Roman"/>
          <w:b w:val="0"/>
          <w:bCs w:val="0"/>
          <w:kern w:val="0"/>
          <w:sz w:val="32"/>
          <w:szCs w:val="32"/>
          <w:u w:val="none"/>
        </w:rPr>
        <w:t>、民生保障和重点产业等项目。空间预留和功能预留，主要通过在下层次规划中划定战略预留区和留白用地实现。</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79" w:lineRule="exact"/>
        <w:textAlignment w:val="auto"/>
        <w:rPr>
          <w:b w:val="0"/>
          <w:bCs w:val="0"/>
          <w:sz w:val="32"/>
          <w:szCs w:val="32"/>
          <w:u w:val="none"/>
        </w:rPr>
      </w:pPr>
      <w:r>
        <w:rPr>
          <w:b w:val="0"/>
          <w:bCs w:val="0"/>
          <w:sz w:val="32"/>
          <w:szCs w:val="32"/>
          <w:u w:val="none"/>
        </w:rPr>
        <w:br w:type="page"/>
      </w:r>
      <w:bookmarkStart w:id="50" w:name="_Toc20159"/>
      <w:r>
        <w:rPr>
          <w:rFonts w:hint="eastAsia" w:ascii="方正小标宋简体" w:hAnsi="方正小标宋简体" w:eastAsia="方正小标宋简体" w:cs="方正小标宋简体"/>
          <w:b w:val="0"/>
          <w:bCs w:val="0"/>
          <w:sz w:val="44"/>
          <w:szCs w:val="44"/>
          <w:u w:val="none"/>
        </w:rPr>
        <w:t>农业空间</w:t>
      </w:r>
      <w:bookmarkEnd w:id="50"/>
    </w:p>
    <w:p>
      <w:pPr>
        <w:pStyle w:val="81"/>
        <w:keepNext w:val="0"/>
        <w:keepLines w:val="0"/>
        <w:pageBreakBefore w:val="0"/>
        <w:widowControl w:val="0"/>
        <w:numPr>
          <w:ilvl w:val="0"/>
          <w:numId w:val="7"/>
        </w:numPr>
        <w:tabs>
          <w:tab w:val="clear" w:pos="420"/>
        </w:tabs>
        <w:kinsoku/>
        <w:wordWrap/>
        <w:overflowPunct/>
        <w:topLinePunct w:val="0"/>
        <w:autoSpaceDE/>
        <w:autoSpaceDN/>
        <w:bidi w:val="0"/>
        <w:adjustRightInd/>
        <w:snapToGrid/>
        <w:spacing w:before="470" w:beforeLines="80" w:after="470" w:afterLines="80" w:line="579" w:lineRule="exact"/>
        <w:textAlignment w:val="auto"/>
        <w:rPr>
          <w:b w:val="0"/>
          <w:bCs w:val="0"/>
          <w:sz w:val="32"/>
          <w:szCs w:val="32"/>
          <w:u w:val="none"/>
        </w:rPr>
      </w:pPr>
      <w:bookmarkStart w:id="51" w:name="_Toc10975"/>
      <w:bookmarkStart w:id="52" w:name="_Toc11308"/>
      <w:bookmarkStart w:id="53" w:name="_Toc130822939"/>
      <w:r>
        <w:rPr>
          <w:rFonts w:hint="eastAsia"/>
          <w:b w:val="0"/>
          <w:bCs w:val="0"/>
          <w:sz w:val="32"/>
          <w:szCs w:val="32"/>
          <w:u w:val="none"/>
        </w:rPr>
        <w:t>优化农业空间格局</w:t>
      </w:r>
      <w:bookmarkEnd w:id="51"/>
      <w:bookmarkEnd w:id="52"/>
    </w:p>
    <w:bookmarkEnd w:id="53"/>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54" w:name="_Toc19287"/>
      <w:r>
        <w:rPr>
          <w:rFonts w:hint="eastAsia"/>
          <w:b w:val="0"/>
          <w:bCs w:val="0"/>
          <w:sz w:val="32"/>
          <w:szCs w:val="32"/>
          <w:u w:val="none"/>
        </w:rPr>
        <w:t>构建“三区一带、七园一渔港”农业空间格局</w:t>
      </w:r>
      <w:bookmarkEnd w:id="54"/>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全面推进“百县千镇万村高质量发展工程”及“村村有物业”重点工作，以“强镇带村”推动乡村全面振兴，</w:t>
      </w:r>
      <w:r>
        <w:rPr>
          <w:rFonts w:ascii="仿宋_GB2312"/>
          <w:b w:val="0"/>
          <w:bCs w:val="0"/>
          <w:sz w:val="32"/>
          <w:szCs w:val="32"/>
          <w:u w:val="none"/>
        </w:rPr>
        <w:t>突破传统农林牧渔第一产业生产模式</w:t>
      </w:r>
      <w:r>
        <w:rPr>
          <w:rFonts w:hint="eastAsia" w:ascii="仿宋_GB2312"/>
          <w:b w:val="0"/>
          <w:bCs w:val="0"/>
          <w:sz w:val="32"/>
          <w:szCs w:val="32"/>
          <w:u w:val="none"/>
        </w:rPr>
        <w:t>，</w:t>
      </w:r>
      <w:r>
        <w:rPr>
          <w:rFonts w:ascii="仿宋_GB2312"/>
          <w:b w:val="0"/>
          <w:bCs w:val="0"/>
          <w:sz w:val="32"/>
          <w:szCs w:val="32"/>
          <w:u w:val="none"/>
        </w:rPr>
        <w:t>加快向注重农产品精深加工的第二产业和推动农产品流通等第三产业延伸</w:t>
      </w:r>
      <w:r>
        <w:rPr>
          <w:rFonts w:hint="eastAsia" w:ascii="仿宋_GB2312"/>
          <w:b w:val="0"/>
          <w:bCs w:val="0"/>
          <w:sz w:val="32"/>
          <w:szCs w:val="32"/>
          <w:u w:val="none"/>
        </w:rPr>
        <w:t>，</w:t>
      </w:r>
      <w:r>
        <w:rPr>
          <w:rFonts w:ascii="仿宋_GB2312"/>
          <w:b w:val="0"/>
          <w:bCs w:val="0"/>
          <w:sz w:val="32"/>
          <w:szCs w:val="32"/>
          <w:u w:val="none"/>
        </w:rPr>
        <w:t>构建一二三产相融合的现代都市农业体系</w:t>
      </w:r>
      <w:r>
        <w:rPr>
          <w:rFonts w:hint="eastAsia" w:ascii="仿宋_GB2312"/>
          <w:b w:val="0"/>
          <w:bCs w:val="0"/>
          <w:sz w:val="32"/>
          <w:szCs w:val="32"/>
          <w:u w:val="none"/>
        </w:rPr>
        <w:t>，落实广东省珠三角都市农业区、蓝色农业带布局，</w:t>
      </w:r>
      <w:r>
        <w:rPr>
          <w:rFonts w:ascii="仿宋_GB2312"/>
          <w:b w:val="0"/>
          <w:bCs w:val="0"/>
          <w:sz w:val="32"/>
          <w:szCs w:val="32"/>
          <w:u w:val="none"/>
        </w:rPr>
        <w:t>打造</w:t>
      </w:r>
      <w:r>
        <w:rPr>
          <w:rFonts w:hint="eastAsia" w:ascii="仿宋_GB2312"/>
          <w:b w:val="0"/>
          <w:bCs w:val="0"/>
          <w:sz w:val="32"/>
          <w:szCs w:val="32"/>
          <w:u w:val="none"/>
        </w:rPr>
        <w:t>“三区一带、七园一渔港”</w:t>
      </w:r>
      <w:r>
        <w:rPr>
          <w:rFonts w:ascii="仿宋_GB2312"/>
          <w:b w:val="0"/>
          <w:bCs w:val="0"/>
          <w:sz w:val="32"/>
          <w:szCs w:val="32"/>
          <w:u w:val="none"/>
        </w:rPr>
        <w:t>的富民兴村农业空间</w:t>
      </w:r>
      <w:r>
        <w:rPr>
          <w:rFonts w:hint="eastAsia" w:ascii="仿宋_GB2312"/>
          <w:b w:val="0"/>
          <w:bCs w:val="0"/>
          <w:sz w:val="32"/>
          <w:szCs w:val="32"/>
          <w:u w:val="none"/>
        </w:rPr>
        <w:t>格局。</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“三区”：即东部现代农业展示和特色乡村休闲旅游区、西部现代都市农业和城乡融合示范引领地区、海岛现代海洋牧场和滨海特色精品休闲旅游区。</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“一带”：即南部蓝色农业带。</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七园”：即斗门区白蕉水产类现代农业产业园、斗门区预制菜产业园、斗门区现代粮食产业园、斗门区休闲农业产业园、金湾区黄立鱼现代农业产业园、金湾区特色水果园艺作物现代农业产业园和珠海国家农业科技园区。</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“一渔港”：即珠海洪湾</w:t>
      </w:r>
      <w:r>
        <w:rPr>
          <w:rFonts w:hint="eastAsia"/>
          <w:b w:val="0"/>
          <w:bCs w:val="0"/>
          <w:sz w:val="32"/>
          <w:szCs w:val="32"/>
          <w:u w:val="none"/>
        </w:rPr>
        <w:t>中心</w:t>
      </w:r>
      <w:r>
        <w:rPr>
          <w:rFonts w:hint="eastAsia" w:ascii="仿宋_GB2312"/>
          <w:b w:val="0"/>
          <w:bCs w:val="0"/>
          <w:sz w:val="32"/>
          <w:szCs w:val="32"/>
          <w:u w:val="none"/>
        </w:rPr>
        <w:t>渔港。</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55" w:name="_Toc27802"/>
      <w:r>
        <w:rPr>
          <w:rFonts w:hint="eastAsia"/>
          <w:b w:val="0"/>
          <w:bCs w:val="0"/>
          <w:sz w:val="32"/>
          <w:szCs w:val="32"/>
          <w:u w:val="none"/>
        </w:rPr>
        <w:t>打造现代化农渔业集聚平台</w:t>
      </w:r>
      <w:bookmarkEnd w:id="55"/>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依托斗门区白蕉水产类现代农业产业园、金湾区黄立鱼现代农业产业园，打造现代渔业生产集聚和示范区。依托金湾区特色水果园艺作物现代农业产业园，做大做强名特优新水果、特色花卉优势产业，打造粤港澳大湾区优质水果花卉聚集地。推动斗门区休闲农业产业园打造粤港澳大湾区休闲乡村旅游目的地。依托斗门区预制菜产业园研发预制菜新形态新品类产品，构建优良的预制菜流通体系，打造预制菜全国知名品牌。</w:t>
      </w:r>
      <w:r>
        <w:rPr>
          <w:rFonts w:hint="eastAsia"/>
          <w:b w:val="0"/>
          <w:bCs w:val="0"/>
          <w:sz w:val="32"/>
          <w:szCs w:val="32"/>
          <w:u w:val="none"/>
        </w:rPr>
        <w:t>推动</w:t>
      </w:r>
      <w:r>
        <w:rPr>
          <w:rFonts w:hint="eastAsia" w:ascii="仿宋_GB2312"/>
          <w:b w:val="0"/>
          <w:bCs w:val="0"/>
          <w:sz w:val="32"/>
          <w:szCs w:val="32"/>
          <w:u w:val="none"/>
        </w:rPr>
        <w:t>斗门区现代粮食产业园打造成省内粮食生产、粮食初精加工等先进示范应用产业园。加快推进珠海国家农业科技园、台湾农民创业园等农业创新载体建设，打造现代农业科技创新高地。推动洪湾渔港建设粤港澳大湾区海产品交易中心，全面提升渔港加工、冷链仓储物流等配套功能。推进万山国家级海洋牧场示范区建设，打造深水网箱产业聚集区，建设“海洋蓝色粮仓”。</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56" w:name="_Toc119682537"/>
      <w:bookmarkStart w:id="57" w:name="_Toc130822931"/>
      <w:bookmarkStart w:id="58" w:name="_Toc23869"/>
      <w:r>
        <w:rPr>
          <w:rFonts w:hint="eastAsia"/>
          <w:b w:val="0"/>
          <w:bCs w:val="0"/>
          <w:sz w:val="32"/>
          <w:szCs w:val="32"/>
          <w:u w:val="none"/>
          <w:lang w:val="en-US"/>
        </w:rPr>
        <w:t>发展现代都市型农业</w:t>
      </w:r>
      <w:bookmarkEnd w:id="56"/>
      <w:bookmarkEnd w:id="57"/>
      <w:bookmarkEnd w:id="58"/>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ascii="仿宋_GB2312"/>
          <w:b w:val="0"/>
          <w:bCs w:val="0"/>
          <w:sz w:val="32"/>
          <w:szCs w:val="32"/>
          <w:u w:val="none"/>
        </w:rPr>
        <w:t>优化城市内部与外围农田空间布局</w:t>
      </w:r>
      <w:r>
        <w:rPr>
          <w:rFonts w:hint="eastAsia" w:ascii="仿宋_GB2312"/>
          <w:b w:val="0"/>
          <w:bCs w:val="0"/>
          <w:sz w:val="32"/>
          <w:szCs w:val="32"/>
          <w:u w:val="none"/>
        </w:rPr>
        <w:t>，</w:t>
      </w:r>
      <w:r>
        <w:rPr>
          <w:rFonts w:ascii="仿宋_GB2312"/>
          <w:b w:val="0"/>
          <w:bCs w:val="0"/>
          <w:sz w:val="32"/>
          <w:szCs w:val="32"/>
          <w:u w:val="none"/>
        </w:rPr>
        <w:t>以斗门区和金湾区为重点</w:t>
      </w:r>
      <w:r>
        <w:rPr>
          <w:rFonts w:hint="eastAsia" w:ascii="仿宋_GB2312"/>
          <w:b w:val="0"/>
          <w:bCs w:val="0"/>
          <w:sz w:val="32"/>
          <w:szCs w:val="32"/>
          <w:u w:val="none"/>
        </w:rPr>
        <w:t>，</w:t>
      </w:r>
      <w:r>
        <w:rPr>
          <w:rFonts w:ascii="仿宋_GB2312"/>
          <w:b w:val="0"/>
          <w:bCs w:val="0"/>
          <w:sz w:val="32"/>
          <w:szCs w:val="32"/>
          <w:u w:val="none"/>
        </w:rPr>
        <w:t>大力发展都市农业</w:t>
      </w:r>
      <w:r>
        <w:rPr>
          <w:rFonts w:hint="eastAsia" w:ascii="仿宋_GB2312"/>
          <w:b w:val="0"/>
          <w:bCs w:val="0"/>
          <w:sz w:val="32"/>
          <w:szCs w:val="32"/>
          <w:u w:val="none"/>
        </w:rPr>
        <w:t>，</w:t>
      </w:r>
      <w:r>
        <w:rPr>
          <w:rFonts w:ascii="仿宋_GB2312"/>
          <w:b w:val="0"/>
          <w:bCs w:val="0"/>
          <w:sz w:val="32"/>
          <w:szCs w:val="32"/>
          <w:u w:val="none"/>
        </w:rPr>
        <w:t>强化城市生态防护</w:t>
      </w:r>
      <w:r>
        <w:rPr>
          <w:rFonts w:hint="eastAsia" w:ascii="仿宋_GB2312"/>
          <w:b w:val="0"/>
          <w:bCs w:val="0"/>
          <w:sz w:val="32"/>
          <w:szCs w:val="32"/>
          <w:u w:val="none"/>
        </w:rPr>
        <w:t>、绿色</w:t>
      </w:r>
      <w:r>
        <w:rPr>
          <w:rFonts w:ascii="仿宋_GB2312"/>
          <w:b w:val="0"/>
          <w:bCs w:val="0"/>
          <w:sz w:val="32"/>
          <w:szCs w:val="32"/>
          <w:u w:val="none"/>
        </w:rPr>
        <w:t>农产品供给</w:t>
      </w:r>
      <w:r>
        <w:rPr>
          <w:rFonts w:hint="eastAsia" w:ascii="仿宋_GB2312"/>
          <w:b w:val="0"/>
          <w:bCs w:val="0"/>
          <w:sz w:val="32"/>
          <w:szCs w:val="32"/>
          <w:u w:val="none"/>
        </w:rPr>
        <w:t>、观光</w:t>
      </w:r>
      <w:r>
        <w:rPr>
          <w:rFonts w:ascii="仿宋_GB2312"/>
          <w:b w:val="0"/>
          <w:bCs w:val="0"/>
          <w:sz w:val="32"/>
          <w:szCs w:val="32"/>
          <w:u w:val="none"/>
        </w:rPr>
        <w:t>休闲</w:t>
      </w:r>
      <w:r>
        <w:rPr>
          <w:rFonts w:hint="eastAsia" w:ascii="仿宋_GB2312"/>
          <w:b w:val="0"/>
          <w:bCs w:val="0"/>
          <w:sz w:val="32"/>
          <w:szCs w:val="32"/>
          <w:u w:val="none"/>
        </w:rPr>
        <w:t>、科普教育、田园</w:t>
      </w:r>
      <w:r>
        <w:rPr>
          <w:rFonts w:ascii="仿宋_GB2312"/>
          <w:b w:val="0"/>
          <w:bCs w:val="0"/>
          <w:sz w:val="32"/>
          <w:szCs w:val="32"/>
          <w:u w:val="none"/>
        </w:rPr>
        <w:t>养生等面向城市多样化需求的功能培育</w:t>
      </w:r>
      <w:r>
        <w:rPr>
          <w:rFonts w:hint="eastAsia" w:ascii="仿宋_GB2312"/>
          <w:b w:val="0"/>
          <w:bCs w:val="0"/>
          <w:sz w:val="32"/>
          <w:szCs w:val="32"/>
          <w:u w:val="none"/>
        </w:rPr>
        <w:t>。</w:t>
      </w:r>
      <w:r>
        <w:rPr>
          <w:rFonts w:ascii="仿宋_GB2312"/>
          <w:b w:val="0"/>
          <w:bCs w:val="0"/>
          <w:sz w:val="32"/>
          <w:szCs w:val="32"/>
          <w:u w:val="none"/>
        </w:rPr>
        <w:t>推动农业公园</w:t>
      </w:r>
      <w:r>
        <w:rPr>
          <w:rFonts w:hint="eastAsia" w:ascii="仿宋_GB2312"/>
          <w:b w:val="0"/>
          <w:bCs w:val="0"/>
          <w:sz w:val="32"/>
          <w:szCs w:val="32"/>
          <w:u w:val="none"/>
        </w:rPr>
        <w:t>、田园综合体、</w:t>
      </w:r>
      <w:r>
        <w:rPr>
          <w:rFonts w:ascii="仿宋_GB2312"/>
          <w:b w:val="0"/>
          <w:bCs w:val="0"/>
          <w:sz w:val="32"/>
          <w:szCs w:val="32"/>
          <w:u w:val="none"/>
        </w:rPr>
        <w:t>农事体验基地</w:t>
      </w:r>
      <w:r>
        <w:rPr>
          <w:rFonts w:hint="eastAsia" w:ascii="仿宋_GB2312"/>
          <w:b w:val="0"/>
          <w:bCs w:val="0"/>
          <w:sz w:val="32"/>
          <w:szCs w:val="32"/>
          <w:u w:val="none"/>
        </w:rPr>
        <w:t>、农业健康养生</w:t>
      </w:r>
      <w:r>
        <w:rPr>
          <w:rFonts w:ascii="仿宋_GB2312"/>
          <w:b w:val="0"/>
          <w:bCs w:val="0"/>
          <w:sz w:val="32"/>
          <w:szCs w:val="32"/>
          <w:u w:val="none"/>
        </w:rPr>
        <w:t>产业基地</w:t>
      </w:r>
      <w:r>
        <w:rPr>
          <w:rFonts w:hint="eastAsia" w:ascii="仿宋_GB2312"/>
          <w:b w:val="0"/>
          <w:bCs w:val="0"/>
          <w:sz w:val="32"/>
          <w:szCs w:val="32"/>
          <w:u w:val="none"/>
        </w:rPr>
        <w:t>、</w:t>
      </w:r>
      <w:r>
        <w:rPr>
          <w:b w:val="0"/>
          <w:bCs w:val="0"/>
          <w:sz w:val="32"/>
          <w:szCs w:val="32"/>
          <w:u w:val="none"/>
        </w:rPr>
        <w:t>5G</w:t>
      </w:r>
      <w:r>
        <w:rPr>
          <w:rFonts w:ascii="仿宋_GB2312"/>
          <w:b w:val="0"/>
          <w:bCs w:val="0"/>
          <w:sz w:val="32"/>
          <w:szCs w:val="32"/>
          <w:u w:val="none"/>
        </w:rPr>
        <w:t>+农业示范应用基地等载体建设</w:t>
      </w:r>
      <w:r>
        <w:rPr>
          <w:rFonts w:hint="eastAsia" w:ascii="仿宋_GB2312"/>
          <w:b w:val="0"/>
          <w:bCs w:val="0"/>
          <w:sz w:val="32"/>
          <w:szCs w:val="32"/>
          <w:u w:val="none"/>
        </w:rPr>
        <w:t>，</w:t>
      </w:r>
      <w:r>
        <w:rPr>
          <w:rFonts w:ascii="仿宋_GB2312"/>
          <w:b w:val="0"/>
          <w:bCs w:val="0"/>
          <w:sz w:val="32"/>
          <w:szCs w:val="32"/>
          <w:u w:val="none"/>
        </w:rPr>
        <w:t>探索发展共享农场</w:t>
      </w:r>
      <w:r>
        <w:rPr>
          <w:rFonts w:hint="eastAsia" w:ascii="仿宋_GB2312"/>
          <w:b w:val="0"/>
          <w:bCs w:val="0"/>
          <w:sz w:val="32"/>
          <w:szCs w:val="32"/>
          <w:u w:val="none"/>
        </w:rPr>
        <w:t>、共享农机、共享仓储等乡村共享经济，</w:t>
      </w:r>
      <w:r>
        <w:rPr>
          <w:rFonts w:ascii="仿宋_GB2312"/>
          <w:b w:val="0"/>
          <w:bCs w:val="0"/>
          <w:sz w:val="32"/>
          <w:szCs w:val="32"/>
          <w:u w:val="none"/>
        </w:rPr>
        <w:t>促进现代都市型农业多元发展</w:t>
      </w:r>
      <w:r>
        <w:rPr>
          <w:rFonts w:hint="eastAsia" w:ascii="仿宋_GB2312"/>
          <w:b w:val="0"/>
          <w:bCs w:val="0"/>
          <w:sz w:val="32"/>
          <w:szCs w:val="32"/>
          <w:u w:val="none"/>
        </w:rPr>
        <w:t>，</w:t>
      </w:r>
      <w:r>
        <w:rPr>
          <w:rFonts w:ascii="仿宋_GB2312"/>
          <w:b w:val="0"/>
          <w:bCs w:val="0"/>
          <w:sz w:val="32"/>
          <w:szCs w:val="32"/>
          <w:u w:val="none"/>
        </w:rPr>
        <w:t>建设国内一流的都市型现代休闲农业示范园</w:t>
      </w:r>
      <w:r>
        <w:rPr>
          <w:rFonts w:hint="eastAsia" w:ascii="仿宋_GB2312"/>
          <w:b w:val="0"/>
          <w:bCs w:val="0"/>
          <w:sz w:val="32"/>
          <w:szCs w:val="32"/>
          <w:u w:val="none"/>
        </w:rPr>
        <w:t>。</w:t>
      </w:r>
    </w:p>
    <w:p>
      <w:pPr>
        <w:pStyle w:val="81"/>
        <w:keepNext w:val="0"/>
        <w:keepLines w:val="0"/>
        <w:pageBreakBefore w:val="0"/>
        <w:widowControl w:val="0"/>
        <w:numPr>
          <w:ilvl w:val="0"/>
          <w:numId w:val="7"/>
        </w:numPr>
        <w:tabs>
          <w:tab w:val="clear" w:pos="420"/>
        </w:tabs>
        <w:kinsoku/>
        <w:wordWrap/>
        <w:overflowPunct/>
        <w:topLinePunct w:val="0"/>
        <w:autoSpaceDE/>
        <w:autoSpaceDN/>
        <w:bidi w:val="0"/>
        <w:adjustRightInd/>
        <w:snapToGrid/>
        <w:spacing w:before="470" w:beforeLines="80" w:after="470" w:afterLines="80" w:line="579" w:lineRule="exact"/>
        <w:textAlignment w:val="auto"/>
        <w:rPr>
          <w:b w:val="0"/>
          <w:bCs w:val="0"/>
          <w:sz w:val="32"/>
          <w:szCs w:val="32"/>
          <w:u w:val="none"/>
        </w:rPr>
      </w:pPr>
      <w:bookmarkStart w:id="59" w:name="_Toc14529"/>
      <w:r>
        <w:rPr>
          <w:rFonts w:hint="eastAsia"/>
          <w:b w:val="0"/>
          <w:bCs w:val="0"/>
          <w:sz w:val="32"/>
          <w:szCs w:val="32"/>
          <w:u w:val="none"/>
        </w:rPr>
        <w:t>建设宜居宜业和美乡村</w:t>
      </w:r>
      <w:bookmarkEnd w:id="59"/>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60" w:name="_Toc5853"/>
      <w:bookmarkStart w:id="61" w:name="_Toc24024"/>
      <w:r>
        <w:rPr>
          <w:rFonts w:hint="eastAsia"/>
          <w:b w:val="0"/>
          <w:bCs w:val="0"/>
          <w:sz w:val="32"/>
          <w:szCs w:val="32"/>
          <w:u w:val="none"/>
        </w:rPr>
        <w:t>分类引导乡村有序发展</w:t>
      </w:r>
      <w:bookmarkEnd w:id="60"/>
      <w:bookmarkEnd w:id="61"/>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ascii="仿宋_GB2312"/>
          <w:b w:val="0"/>
          <w:bCs w:val="0"/>
          <w:sz w:val="32"/>
          <w:szCs w:val="32"/>
          <w:u w:val="none"/>
        </w:rPr>
        <w:t>结合乡村资源禀赋与发展基础</w:t>
      </w:r>
      <w:r>
        <w:rPr>
          <w:rFonts w:hint="eastAsia" w:ascii="仿宋_GB2312"/>
          <w:b w:val="0"/>
          <w:bCs w:val="0"/>
          <w:sz w:val="32"/>
          <w:szCs w:val="32"/>
          <w:u w:val="none"/>
        </w:rPr>
        <w:t>，</w:t>
      </w:r>
      <w:r>
        <w:rPr>
          <w:rFonts w:ascii="仿宋_GB2312"/>
          <w:b w:val="0"/>
          <w:bCs w:val="0"/>
          <w:sz w:val="32"/>
          <w:szCs w:val="32"/>
          <w:u w:val="none"/>
        </w:rPr>
        <w:t>将珠海市域内的行政村分为集聚提升类</w:t>
      </w:r>
      <w:r>
        <w:rPr>
          <w:rFonts w:hint="eastAsia" w:ascii="仿宋_GB2312"/>
          <w:b w:val="0"/>
          <w:bCs w:val="0"/>
          <w:sz w:val="32"/>
          <w:szCs w:val="32"/>
          <w:u w:val="none"/>
        </w:rPr>
        <w:t>、</w:t>
      </w:r>
      <w:r>
        <w:rPr>
          <w:rFonts w:ascii="仿宋_GB2312"/>
          <w:b w:val="0"/>
          <w:bCs w:val="0"/>
          <w:sz w:val="32"/>
          <w:szCs w:val="32"/>
          <w:u w:val="none"/>
        </w:rPr>
        <w:t>城郊融合类</w:t>
      </w:r>
      <w:r>
        <w:rPr>
          <w:rFonts w:hint="eastAsia" w:ascii="仿宋_GB2312"/>
          <w:b w:val="0"/>
          <w:bCs w:val="0"/>
          <w:sz w:val="32"/>
          <w:szCs w:val="32"/>
          <w:u w:val="none"/>
        </w:rPr>
        <w:t>、特色</w:t>
      </w:r>
      <w:r>
        <w:rPr>
          <w:rFonts w:ascii="仿宋_GB2312"/>
          <w:b w:val="0"/>
          <w:bCs w:val="0"/>
          <w:sz w:val="32"/>
          <w:szCs w:val="32"/>
          <w:u w:val="none"/>
        </w:rPr>
        <w:t>保护类</w:t>
      </w:r>
      <w:r>
        <w:rPr>
          <w:rFonts w:hint="eastAsia" w:ascii="仿宋_GB2312"/>
          <w:b w:val="0"/>
          <w:bCs w:val="0"/>
          <w:sz w:val="32"/>
          <w:szCs w:val="32"/>
          <w:u w:val="none"/>
        </w:rPr>
        <w:t>、一般</w:t>
      </w:r>
      <w:r>
        <w:rPr>
          <w:rFonts w:hint="eastAsia"/>
          <w:b w:val="0"/>
          <w:bCs w:val="0"/>
          <w:sz w:val="32"/>
          <w:szCs w:val="32"/>
          <w:u w:val="none"/>
        </w:rPr>
        <w:t>发展</w:t>
      </w:r>
      <w:r>
        <w:rPr>
          <w:rFonts w:hint="eastAsia" w:ascii="仿宋_GB2312"/>
          <w:b w:val="0"/>
          <w:bCs w:val="0"/>
          <w:sz w:val="32"/>
          <w:szCs w:val="32"/>
          <w:u w:val="none"/>
        </w:rPr>
        <w:t>类四</w:t>
      </w:r>
      <w:r>
        <w:rPr>
          <w:rFonts w:ascii="仿宋_GB2312"/>
          <w:b w:val="0"/>
          <w:bCs w:val="0"/>
          <w:sz w:val="32"/>
          <w:szCs w:val="32"/>
          <w:u w:val="none"/>
        </w:rPr>
        <w:t>种类型</w:t>
      </w:r>
      <w:r>
        <w:rPr>
          <w:rFonts w:hint="eastAsia" w:ascii="仿宋_GB2312"/>
          <w:b w:val="0"/>
          <w:bCs w:val="0"/>
          <w:sz w:val="32"/>
          <w:szCs w:val="32"/>
          <w:u w:val="none"/>
        </w:rPr>
        <w:t>，分类</w:t>
      </w:r>
      <w:r>
        <w:rPr>
          <w:rFonts w:ascii="仿宋_GB2312"/>
          <w:b w:val="0"/>
          <w:bCs w:val="0"/>
          <w:sz w:val="32"/>
          <w:szCs w:val="32"/>
          <w:u w:val="none"/>
        </w:rPr>
        <w:t>引导乡村差异化发展</w:t>
      </w:r>
      <w:r>
        <w:rPr>
          <w:rFonts w:hint="eastAsia" w:ascii="仿宋_GB2312"/>
          <w:b w:val="0"/>
          <w:bCs w:val="0"/>
          <w:sz w:val="32"/>
          <w:szCs w:val="32"/>
          <w:u w:val="none"/>
        </w:rPr>
        <w:t>。</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ascii="仿宋_GB2312"/>
          <w:b w:val="0"/>
          <w:bCs w:val="0"/>
          <w:sz w:val="32"/>
          <w:szCs w:val="32"/>
          <w:u w:val="none"/>
        </w:rPr>
        <w:t>集聚提升类村庄:以规模较大的中心村和</w:t>
      </w:r>
      <w:r>
        <w:rPr>
          <w:rFonts w:hint="eastAsia"/>
          <w:b w:val="0"/>
          <w:bCs w:val="0"/>
          <w:sz w:val="32"/>
          <w:szCs w:val="32"/>
          <w:u w:val="none"/>
        </w:rPr>
        <w:t>具有</w:t>
      </w:r>
      <w:r>
        <w:rPr>
          <w:rFonts w:hint="eastAsia" w:ascii="仿宋_GB2312"/>
          <w:b w:val="0"/>
          <w:bCs w:val="0"/>
          <w:sz w:val="32"/>
          <w:szCs w:val="32"/>
          <w:u w:val="none"/>
        </w:rPr>
        <w:t>一定人口规模、产业基础和资源禀赋等发展潜力的村庄</w:t>
      </w:r>
      <w:r>
        <w:rPr>
          <w:rFonts w:ascii="仿宋_GB2312"/>
          <w:b w:val="0"/>
          <w:bCs w:val="0"/>
          <w:sz w:val="32"/>
          <w:szCs w:val="32"/>
          <w:u w:val="none"/>
        </w:rPr>
        <w:t>为主</w:t>
      </w:r>
      <w:r>
        <w:rPr>
          <w:rFonts w:hint="eastAsia" w:ascii="仿宋_GB2312"/>
          <w:b w:val="0"/>
          <w:bCs w:val="0"/>
          <w:sz w:val="32"/>
          <w:szCs w:val="32"/>
          <w:u w:val="none"/>
        </w:rPr>
        <w:t>，是实施乡村振兴的主战场。该类村庄以乡村产业发展为主要方向，优化和聚集</w:t>
      </w:r>
      <w:r>
        <w:rPr>
          <w:rFonts w:ascii="仿宋_GB2312"/>
          <w:b w:val="0"/>
          <w:bCs w:val="0"/>
          <w:sz w:val="32"/>
          <w:szCs w:val="32"/>
          <w:u w:val="none"/>
        </w:rPr>
        <w:t>农业发展用地</w:t>
      </w:r>
      <w:r>
        <w:rPr>
          <w:rFonts w:hint="eastAsia" w:ascii="仿宋_GB2312"/>
          <w:b w:val="0"/>
          <w:bCs w:val="0"/>
          <w:sz w:val="32"/>
          <w:szCs w:val="32"/>
          <w:u w:val="none"/>
        </w:rPr>
        <w:t>，</w:t>
      </w:r>
      <w:r>
        <w:rPr>
          <w:rFonts w:ascii="仿宋_GB2312"/>
          <w:b w:val="0"/>
          <w:bCs w:val="0"/>
          <w:sz w:val="32"/>
          <w:szCs w:val="32"/>
          <w:u w:val="none"/>
        </w:rPr>
        <w:t>提升农业现代化</w:t>
      </w:r>
      <w:r>
        <w:rPr>
          <w:rFonts w:hint="eastAsia" w:ascii="仿宋_GB2312"/>
          <w:b w:val="0"/>
          <w:bCs w:val="0"/>
          <w:sz w:val="32"/>
          <w:szCs w:val="32"/>
          <w:u w:val="none"/>
        </w:rPr>
        <w:t>、精细化水平。合理确定村庄布局和规模，加强基础设施和公共服务体系建设，提高人居环境舒适度、基础设施完备度、公共服务便利度，促进人口与产业有序集聚提升。</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ascii="仿宋_GB2312"/>
          <w:b w:val="0"/>
          <w:bCs w:val="0"/>
          <w:sz w:val="32"/>
          <w:szCs w:val="32"/>
          <w:u w:val="none"/>
        </w:rPr>
        <w:t>城郊融合类村庄</w:t>
      </w:r>
      <w:r>
        <w:rPr>
          <w:rFonts w:hint="eastAsia" w:ascii="仿宋_GB2312"/>
          <w:b w:val="0"/>
          <w:bCs w:val="0"/>
          <w:sz w:val="32"/>
          <w:szCs w:val="32"/>
          <w:u w:val="none"/>
        </w:rPr>
        <w:t>：</w:t>
      </w:r>
      <w:r>
        <w:rPr>
          <w:rFonts w:ascii="仿宋_GB2312"/>
          <w:b w:val="0"/>
          <w:bCs w:val="0"/>
          <w:sz w:val="32"/>
          <w:szCs w:val="32"/>
          <w:u w:val="none"/>
        </w:rPr>
        <w:t>以</w:t>
      </w:r>
      <w:r>
        <w:rPr>
          <w:rFonts w:hint="eastAsia" w:ascii="仿宋_GB2312"/>
          <w:b w:val="0"/>
          <w:bCs w:val="0"/>
          <w:sz w:val="32"/>
          <w:szCs w:val="32"/>
          <w:u w:val="none"/>
        </w:rPr>
        <w:t>城市近郊区、城关镇及中心镇所在地村庄</w:t>
      </w:r>
      <w:r>
        <w:rPr>
          <w:rFonts w:ascii="仿宋_GB2312"/>
          <w:b w:val="0"/>
          <w:bCs w:val="0"/>
          <w:sz w:val="32"/>
          <w:szCs w:val="32"/>
          <w:u w:val="none"/>
        </w:rPr>
        <w:t>为主</w:t>
      </w:r>
      <w:r>
        <w:rPr>
          <w:rFonts w:hint="eastAsia" w:ascii="仿宋_GB2312"/>
          <w:b w:val="0"/>
          <w:bCs w:val="0"/>
          <w:sz w:val="32"/>
          <w:szCs w:val="32"/>
          <w:u w:val="none"/>
        </w:rPr>
        <w:t>，区位优势明显，是城乡融合发展重点区域。该类村庄要充分发挥区位优势，培育发展主导产业，逐步强化服务城市发展、承接城市功能外溢、满足城市消费需求的能力，</w:t>
      </w:r>
      <w:r>
        <w:rPr>
          <w:rFonts w:ascii="仿宋_GB2312"/>
          <w:b w:val="0"/>
          <w:bCs w:val="0"/>
          <w:sz w:val="32"/>
          <w:szCs w:val="32"/>
          <w:u w:val="none"/>
        </w:rPr>
        <w:t>发展面向城市居民多样化消费需求的都市农业</w:t>
      </w:r>
      <w:r>
        <w:rPr>
          <w:rFonts w:hint="eastAsia" w:ascii="仿宋_GB2312"/>
          <w:b w:val="0"/>
          <w:bCs w:val="0"/>
          <w:sz w:val="32"/>
          <w:szCs w:val="32"/>
          <w:u w:val="none"/>
        </w:rPr>
        <w:t>、休闲农业、城郊旅游</w:t>
      </w:r>
      <w:r>
        <w:rPr>
          <w:rFonts w:ascii="仿宋_GB2312"/>
          <w:b w:val="0"/>
          <w:bCs w:val="0"/>
          <w:sz w:val="32"/>
          <w:szCs w:val="32"/>
          <w:u w:val="none"/>
        </w:rPr>
        <w:t>等</w:t>
      </w:r>
      <w:r>
        <w:rPr>
          <w:rFonts w:hint="eastAsia" w:ascii="仿宋_GB2312"/>
          <w:b w:val="0"/>
          <w:bCs w:val="0"/>
          <w:sz w:val="32"/>
          <w:szCs w:val="32"/>
          <w:u w:val="none"/>
        </w:rPr>
        <w:t>，</w:t>
      </w:r>
      <w:r>
        <w:rPr>
          <w:rFonts w:ascii="仿宋_GB2312"/>
          <w:b w:val="0"/>
          <w:bCs w:val="0"/>
          <w:sz w:val="32"/>
          <w:szCs w:val="32"/>
          <w:u w:val="none"/>
        </w:rPr>
        <w:t>加快实现城乡产业融合发展</w:t>
      </w:r>
      <w:r>
        <w:rPr>
          <w:rFonts w:hint="eastAsia" w:ascii="仿宋_GB2312"/>
          <w:b w:val="0"/>
          <w:bCs w:val="0"/>
          <w:sz w:val="32"/>
          <w:szCs w:val="32"/>
          <w:u w:val="none"/>
        </w:rPr>
        <w:t>、基础设施互联互通、公共服务</w:t>
      </w:r>
      <w:r>
        <w:rPr>
          <w:rFonts w:ascii="仿宋_GB2312"/>
          <w:b w:val="0"/>
          <w:bCs w:val="0"/>
          <w:sz w:val="32"/>
          <w:szCs w:val="32"/>
          <w:u w:val="none"/>
        </w:rPr>
        <w:t>共建共享</w:t>
      </w:r>
      <w:r>
        <w:rPr>
          <w:rFonts w:hint="eastAsia" w:ascii="仿宋_GB2312"/>
          <w:b w:val="0"/>
          <w:bCs w:val="0"/>
          <w:sz w:val="32"/>
          <w:szCs w:val="32"/>
          <w:u w:val="none"/>
        </w:rPr>
        <w:t>。</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ascii="仿宋_GB2312"/>
          <w:b w:val="0"/>
          <w:bCs w:val="0"/>
          <w:sz w:val="32"/>
          <w:szCs w:val="32"/>
          <w:u w:val="none"/>
        </w:rPr>
        <w:t>特色保护类村庄:以历史文化名村</w:t>
      </w:r>
      <w:r>
        <w:rPr>
          <w:rFonts w:hint="eastAsia" w:ascii="仿宋_GB2312"/>
          <w:b w:val="0"/>
          <w:bCs w:val="0"/>
          <w:sz w:val="32"/>
          <w:szCs w:val="32"/>
          <w:u w:val="none"/>
        </w:rPr>
        <w:t>、传统村落、文化和旅游特色村等特色资源丰富的村庄为主，是彰显和传承中华优秀传统文化的重要载体。该类村庄要</w:t>
      </w:r>
      <w:r>
        <w:rPr>
          <w:rFonts w:ascii="仿宋_GB2312"/>
          <w:b w:val="0"/>
          <w:bCs w:val="0"/>
          <w:sz w:val="32"/>
          <w:szCs w:val="32"/>
          <w:u w:val="none"/>
        </w:rPr>
        <w:t>注重保持村庄空间肌理与整体空间环境</w:t>
      </w:r>
      <w:r>
        <w:rPr>
          <w:rFonts w:hint="eastAsia" w:ascii="仿宋_GB2312"/>
          <w:b w:val="0"/>
          <w:bCs w:val="0"/>
          <w:sz w:val="32"/>
          <w:szCs w:val="32"/>
          <w:u w:val="none"/>
        </w:rPr>
        <w:t>，延续传统选址、格局、风貌和山水林田湖草特色景观，加强对文物古迹、历史建筑、传统民居等保护与修缮，不改变文物原状和古建筑历史风貌。</w:t>
      </w:r>
      <w:r>
        <w:rPr>
          <w:rFonts w:ascii="仿宋_GB2312"/>
          <w:b w:val="0"/>
          <w:bCs w:val="0"/>
          <w:sz w:val="32"/>
          <w:szCs w:val="32"/>
          <w:u w:val="none"/>
        </w:rPr>
        <w:t>合理利用村庄特色资源</w:t>
      </w:r>
      <w:r>
        <w:rPr>
          <w:rFonts w:hint="eastAsia" w:ascii="仿宋_GB2312"/>
          <w:b w:val="0"/>
          <w:bCs w:val="0"/>
          <w:sz w:val="32"/>
          <w:szCs w:val="32"/>
          <w:u w:val="none"/>
        </w:rPr>
        <w:t>，</w:t>
      </w:r>
      <w:r>
        <w:rPr>
          <w:rFonts w:ascii="仿宋_GB2312"/>
          <w:b w:val="0"/>
          <w:bCs w:val="0"/>
          <w:sz w:val="32"/>
          <w:szCs w:val="32"/>
          <w:u w:val="none"/>
        </w:rPr>
        <w:t>充分挖掘乡村文化特色</w:t>
      </w:r>
      <w:r>
        <w:rPr>
          <w:rFonts w:hint="eastAsia" w:ascii="仿宋_GB2312"/>
          <w:b w:val="0"/>
          <w:bCs w:val="0"/>
          <w:sz w:val="32"/>
          <w:szCs w:val="32"/>
          <w:u w:val="none"/>
        </w:rPr>
        <w:t>，</w:t>
      </w:r>
      <w:r>
        <w:rPr>
          <w:rFonts w:ascii="仿宋_GB2312"/>
          <w:b w:val="0"/>
          <w:bCs w:val="0"/>
          <w:sz w:val="32"/>
          <w:szCs w:val="32"/>
          <w:u w:val="none"/>
        </w:rPr>
        <w:t>发展乡村旅游</w:t>
      </w:r>
      <w:r>
        <w:rPr>
          <w:rFonts w:hint="eastAsia" w:ascii="仿宋_GB2312"/>
          <w:b w:val="0"/>
          <w:bCs w:val="0"/>
          <w:sz w:val="32"/>
          <w:szCs w:val="32"/>
          <w:u w:val="none"/>
        </w:rPr>
        <w:t>和</w:t>
      </w:r>
      <w:r>
        <w:rPr>
          <w:rFonts w:ascii="仿宋_GB2312"/>
          <w:b w:val="0"/>
          <w:bCs w:val="0"/>
          <w:sz w:val="32"/>
          <w:szCs w:val="32"/>
          <w:u w:val="none"/>
        </w:rPr>
        <w:t>特色产业</w:t>
      </w:r>
      <w:r>
        <w:rPr>
          <w:rFonts w:hint="eastAsia" w:ascii="仿宋_GB2312"/>
          <w:b w:val="0"/>
          <w:bCs w:val="0"/>
          <w:sz w:val="32"/>
          <w:szCs w:val="32"/>
          <w:u w:val="none"/>
        </w:rPr>
        <w:t>，</w:t>
      </w:r>
      <w:r>
        <w:rPr>
          <w:rFonts w:ascii="仿宋_GB2312"/>
          <w:b w:val="0"/>
          <w:bCs w:val="0"/>
          <w:sz w:val="32"/>
          <w:szCs w:val="32"/>
          <w:u w:val="none"/>
        </w:rPr>
        <w:t>推动乡村产业多元化发展</w:t>
      </w:r>
      <w:r>
        <w:rPr>
          <w:rFonts w:hint="eastAsia" w:ascii="仿宋_GB2312"/>
          <w:b w:val="0"/>
          <w:bCs w:val="0"/>
          <w:sz w:val="32"/>
          <w:szCs w:val="32"/>
          <w:u w:val="none"/>
        </w:rPr>
        <w:t>。</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一般发展类村：除集聚提升类、城郊融合类、特色保护类以外的村庄。该类村庄要瞄准农村基本具备现代生活条件的目标，统筹乡村基础设施和公共服务布局建设，开展农村人居环境整治提升，以普惠性、基础性、兜底性民生建设为重点，逐步补齐基础设施和公共服务短板。支持传统产业发展，盘活利用村庄资产资源发展壮大乡村产业。</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62" w:name="_Toc18398"/>
      <w:r>
        <w:rPr>
          <w:rFonts w:hint="eastAsia"/>
          <w:b w:val="0"/>
          <w:bCs w:val="0"/>
          <w:sz w:val="32"/>
          <w:szCs w:val="32"/>
          <w:u w:val="none"/>
        </w:rPr>
        <w:t>支持全面推进乡村振兴</w:t>
      </w:r>
      <w:bookmarkEnd w:id="62"/>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构建五条乡村振兴示范带。</w:t>
      </w:r>
      <w:r>
        <w:rPr>
          <w:rFonts w:ascii="仿宋_GB2312"/>
          <w:b w:val="0"/>
          <w:bCs w:val="0"/>
          <w:sz w:val="32"/>
          <w:szCs w:val="32"/>
          <w:u w:val="none"/>
        </w:rPr>
        <w:t>扎实推动乡村产业</w:t>
      </w:r>
      <w:r>
        <w:rPr>
          <w:rFonts w:hint="eastAsia" w:ascii="仿宋_GB2312"/>
          <w:b w:val="0"/>
          <w:bCs w:val="0"/>
          <w:sz w:val="32"/>
          <w:szCs w:val="32"/>
          <w:u w:val="none"/>
        </w:rPr>
        <w:t>、人才、文化、生</w:t>
      </w:r>
      <w:r>
        <w:rPr>
          <w:rFonts w:ascii="仿宋_GB2312"/>
          <w:b w:val="0"/>
          <w:bCs w:val="0"/>
          <w:sz w:val="32"/>
          <w:szCs w:val="32"/>
          <w:u w:val="none"/>
        </w:rPr>
        <w:t>态</w:t>
      </w:r>
      <w:r>
        <w:rPr>
          <w:rFonts w:hint="eastAsia" w:ascii="仿宋_GB2312"/>
          <w:b w:val="0"/>
          <w:bCs w:val="0"/>
          <w:sz w:val="32"/>
          <w:szCs w:val="32"/>
          <w:u w:val="none"/>
        </w:rPr>
        <w:t>、组织振兴，打造斗门区斗门镇文旅融合示范带、斗门区莲洲镇农旅融合示范带、金湾区红旗镇特色水乡示范带、高新区唐家湾“大学-历史文化名镇”示范带、万山区美丽渔村示范带</w:t>
      </w:r>
      <w:r>
        <w:rPr>
          <w:rFonts w:ascii="仿宋_GB2312"/>
          <w:b w:val="0"/>
          <w:bCs w:val="0"/>
          <w:sz w:val="32"/>
          <w:szCs w:val="32"/>
          <w:u w:val="none"/>
        </w:rPr>
        <w:t>等</w:t>
      </w:r>
      <w:r>
        <w:rPr>
          <w:b w:val="0"/>
          <w:bCs w:val="0"/>
          <w:sz w:val="32"/>
          <w:szCs w:val="32"/>
          <w:u w:val="none"/>
        </w:rPr>
        <w:t>5</w:t>
      </w:r>
      <w:r>
        <w:rPr>
          <w:rFonts w:ascii="仿宋_GB2312"/>
          <w:b w:val="0"/>
          <w:bCs w:val="0"/>
          <w:sz w:val="32"/>
          <w:szCs w:val="32"/>
          <w:u w:val="none"/>
        </w:rPr>
        <w:t>条乡村振兴示范带</w:t>
      </w:r>
      <w:r>
        <w:rPr>
          <w:rFonts w:hint="eastAsia" w:ascii="仿宋_GB2312"/>
          <w:b w:val="0"/>
          <w:bCs w:val="0"/>
          <w:sz w:val="32"/>
          <w:szCs w:val="32"/>
          <w:u w:val="none"/>
        </w:rPr>
        <w:t>。</w:t>
      </w:r>
      <w:r>
        <w:rPr>
          <w:rFonts w:ascii="仿宋_GB2312"/>
          <w:b w:val="0"/>
          <w:bCs w:val="0"/>
          <w:sz w:val="32"/>
          <w:szCs w:val="32"/>
          <w:u w:val="none"/>
        </w:rPr>
        <w:t>加强各乡村振兴示范带的整体风貌塑造</w:t>
      </w:r>
      <w:r>
        <w:rPr>
          <w:rFonts w:hint="eastAsia" w:ascii="仿宋_GB2312"/>
          <w:b w:val="0"/>
          <w:bCs w:val="0"/>
          <w:sz w:val="32"/>
          <w:szCs w:val="32"/>
          <w:u w:val="none"/>
        </w:rPr>
        <w:t>，保护传统村落肌理，引导村庄空间布局、建筑形式和色彩等方面与地域特色相协调。</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打造百县千镇万村高质量发展工程试点示范。支持斗门区建设“百县千镇万村高质量发展工程”促进城乡区域协调发展示范区。推进斗门区等打造农房建设示范区，有序开展村庄微改造精提升。推进斗门镇、红旗镇、平沙镇等建设中心镇示范样板，推动南屏镇、唐家湾镇、桂山镇等建设美丽圩镇省级示范样板，改造提升旧民居、旧街巷，建设美丽街区和省级旅游休闲街区。推进古树名木、特色民居和传统村落保护利用，打造会同古村、乾务新村与网山古村、莲洲名镇等一批辨识度高、别具特色的网红地、打卡点。</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强化农房规划设计管控。有序规范新建农村住房，科学编制农房风貌规划，分级分类制定农房设计和乡村风貌提升</w:t>
      </w:r>
      <w:r>
        <w:rPr>
          <w:rFonts w:hint="eastAsia"/>
          <w:b w:val="0"/>
          <w:bCs w:val="0"/>
          <w:sz w:val="32"/>
          <w:szCs w:val="32"/>
          <w:u w:val="none"/>
        </w:rPr>
        <w:t>工作</w:t>
      </w:r>
      <w:r>
        <w:rPr>
          <w:rFonts w:hint="eastAsia" w:ascii="仿宋_GB2312"/>
          <w:b w:val="0"/>
          <w:bCs w:val="0"/>
          <w:sz w:val="32"/>
          <w:szCs w:val="32"/>
          <w:u w:val="none"/>
        </w:rPr>
        <w:t>指引。</w:t>
      </w:r>
      <w:r>
        <w:rPr>
          <w:rFonts w:ascii="仿宋_GB2312"/>
          <w:b w:val="0"/>
          <w:bCs w:val="0"/>
          <w:sz w:val="32"/>
          <w:szCs w:val="32"/>
          <w:u w:val="none"/>
        </w:rPr>
        <w:t>优先推进样板村</w:t>
      </w:r>
      <w:r>
        <w:rPr>
          <w:rFonts w:hint="eastAsia" w:ascii="仿宋_GB2312"/>
          <w:b w:val="0"/>
          <w:bCs w:val="0"/>
          <w:sz w:val="32"/>
          <w:szCs w:val="32"/>
          <w:u w:val="none"/>
        </w:rPr>
        <w:t>、旅</w:t>
      </w:r>
      <w:r>
        <w:rPr>
          <w:rFonts w:ascii="仿宋_GB2312"/>
          <w:b w:val="0"/>
          <w:bCs w:val="0"/>
          <w:sz w:val="32"/>
          <w:szCs w:val="32"/>
          <w:u w:val="none"/>
        </w:rPr>
        <w:t>游景</w:t>
      </w:r>
      <w:r>
        <w:rPr>
          <w:rFonts w:hint="eastAsia" w:ascii="仿宋_GB2312"/>
          <w:b w:val="0"/>
          <w:bCs w:val="0"/>
          <w:sz w:val="32"/>
          <w:szCs w:val="32"/>
          <w:u w:val="none"/>
        </w:rPr>
        <w:t>区以及铁路、高速公路、国省道、</w:t>
      </w:r>
      <w:r>
        <w:rPr>
          <w:rFonts w:ascii="仿宋_GB2312"/>
          <w:b w:val="0"/>
          <w:bCs w:val="0"/>
          <w:sz w:val="32"/>
          <w:szCs w:val="32"/>
          <w:u w:val="none"/>
        </w:rPr>
        <w:t>主要海滨河流</w:t>
      </w:r>
      <w:r>
        <w:rPr>
          <w:rFonts w:hint="eastAsia" w:ascii="仿宋_GB2312"/>
          <w:b w:val="0"/>
          <w:bCs w:val="0"/>
          <w:sz w:val="32"/>
          <w:szCs w:val="32"/>
          <w:u w:val="none"/>
        </w:rPr>
        <w:t>和南粤古驿道沿线</w:t>
      </w:r>
      <w:r>
        <w:rPr>
          <w:rFonts w:ascii="仿宋_GB2312"/>
          <w:b w:val="0"/>
          <w:bCs w:val="0"/>
          <w:sz w:val="32"/>
          <w:szCs w:val="32"/>
          <w:u w:val="none"/>
        </w:rPr>
        <w:t>的农房风貌整治</w:t>
      </w:r>
      <w:r>
        <w:rPr>
          <w:rFonts w:hint="eastAsia" w:ascii="仿宋_GB2312"/>
          <w:b w:val="0"/>
          <w:bCs w:val="0"/>
          <w:sz w:val="32"/>
          <w:szCs w:val="32"/>
          <w:u w:val="none"/>
        </w:rPr>
        <w:t>。深入推进农村乱占耕地建房专项整治。按“谁审批、谁监管”要求，加强农村建房全流程审批和规范管理，保障农村居民住宅建设合理需求。</w:t>
      </w:r>
    </w:p>
    <w:p>
      <w:pPr>
        <w:pStyle w:val="81"/>
        <w:keepNext w:val="0"/>
        <w:keepLines w:val="0"/>
        <w:pageBreakBefore w:val="0"/>
        <w:widowControl w:val="0"/>
        <w:numPr>
          <w:ilvl w:val="0"/>
          <w:numId w:val="7"/>
        </w:numPr>
        <w:tabs>
          <w:tab w:val="clear" w:pos="420"/>
        </w:tabs>
        <w:kinsoku/>
        <w:wordWrap/>
        <w:overflowPunct/>
        <w:topLinePunct w:val="0"/>
        <w:autoSpaceDE/>
        <w:autoSpaceDN/>
        <w:bidi w:val="0"/>
        <w:adjustRightInd/>
        <w:snapToGrid/>
        <w:spacing w:before="488" w:beforeLines="80" w:after="488" w:afterLines="80" w:line="579" w:lineRule="exact"/>
        <w:textAlignment w:val="auto"/>
        <w:rPr>
          <w:b w:val="0"/>
          <w:bCs w:val="0"/>
          <w:sz w:val="32"/>
          <w:szCs w:val="32"/>
          <w:u w:val="none"/>
        </w:rPr>
      </w:pPr>
      <w:bookmarkStart w:id="63" w:name="_Toc15711"/>
      <w:r>
        <w:rPr>
          <w:rFonts w:hint="eastAsia"/>
          <w:b w:val="0"/>
          <w:bCs w:val="0"/>
          <w:sz w:val="32"/>
          <w:szCs w:val="32"/>
          <w:u w:val="none"/>
        </w:rPr>
        <w:t>促进城乡空间高质量融合发展</w:t>
      </w:r>
      <w:bookmarkEnd w:id="63"/>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64" w:name="_Toc119682540"/>
      <w:bookmarkStart w:id="65" w:name="_Toc130822937"/>
      <w:bookmarkStart w:id="66" w:name="_Toc17359"/>
      <w:r>
        <w:rPr>
          <w:rFonts w:hint="eastAsia"/>
          <w:b w:val="0"/>
          <w:bCs w:val="0"/>
          <w:sz w:val="32"/>
          <w:szCs w:val="32"/>
          <w:u w:val="none"/>
        </w:rPr>
        <w:t>统筹城乡公共服务和基础设施</w:t>
      </w:r>
      <w:bookmarkEnd w:id="64"/>
      <w:bookmarkEnd w:id="65"/>
      <w:r>
        <w:rPr>
          <w:rFonts w:hint="eastAsia"/>
          <w:b w:val="0"/>
          <w:bCs w:val="0"/>
          <w:sz w:val="32"/>
          <w:szCs w:val="32"/>
          <w:u w:val="none"/>
        </w:rPr>
        <w:t>建设</w:t>
      </w:r>
      <w:bookmarkEnd w:id="66"/>
    </w:p>
    <w:p>
      <w:pPr>
        <w:keepNext w:val="0"/>
        <w:keepLines w:val="0"/>
        <w:pageBreakBefore w:val="0"/>
        <w:widowControl w:val="0"/>
        <w:kinsoku/>
        <w:wordWrap/>
        <w:overflowPunct/>
        <w:topLinePunct w:val="0"/>
        <w:autoSpaceDE/>
        <w:autoSpaceDN/>
        <w:bidi w:val="0"/>
        <w:adjustRightInd/>
        <w:snapToGrid/>
        <w:spacing w:line="550" w:lineRule="exact"/>
        <w:ind w:firstLine="600"/>
        <w:textAlignment w:val="auto"/>
        <w:rPr>
          <w:b w:val="0"/>
          <w:bCs w:val="0"/>
          <w:sz w:val="32"/>
          <w:szCs w:val="32"/>
          <w:u w:val="none"/>
        </w:rPr>
      </w:pPr>
      <w:r>
        <w:rPr>
          <w:rFonts w:ascii="仿宋_GB2312"/>
          <w:b w:val="0"/>
          <w:bCs w:val="0"/>
          <w:sz w:val="32"/>
          <w:szCs w:val="32"/>
          <w:u w:val="none"/>
        </w:rPr>
        <w:t>推动城镇公共服务向农村延伸覆盖</w:t>
      </w:r>
      <w:r>
        <w:rPr>
          <w:rFonts w:hint="eastAsia" w:ascii="仿宋_GB2312"/>
          <w:b w:val="0"/>
          <w:bCs w:val="0"/>
          <w:sz w:val="32"/>
          <w:szCs w:val="32"/>
          <w:u w:val="none"/>
        </w:rPr>
        <w:t>，</w:t>
      </w:r>
      <w:r>
        <w:rPr>
          <w:rFonts w:ascii="仿宋_GB2312"/>
          <w:b w:val="0"/>
          <w:bCs w:val="0"/>
          <w:sz w:val="32"/>
          <w:szCs w:val="32"/>
          <w:u w:val="none"/>
        </w:rPr>
        <w:t>建立城乡一体的基本公共服务体系</w:t>
      </w:r>
      <w:r>
        <w:rPr>
          <w:rFonts w:hint="eastAsia" w:ascii="仿宋_GB2312"/>
          <w:b w:val="0"/>
          <w:bCs w:val="0"/>
          <w:sz w:val="32"/>
          <w:szCs w:val="32"/>
          <w:u w:val="none"/>
        </w:rPr>
        <w:t>。优化城乡教育联合体模式，推动优质教育资源向镇村倾斜。强化基层公共卫生体系，加强紧密型医共体建设。</w:t>
      </w:r>
      <w:r>
        <w:rPr>
          <w:rFonts w:hint="eastAsia"/>
          <w:b w:val="0"/>
          <w:bCs w:val="0"/>
          <w:sz w:val="32"/>
          <w:szCs w:val="32"/>
          <w:u w:val="none"/>
        </w:rPr>
        <w:t>健全</w:t>
      </w:r>
      <w:r>
        <w:rPr>
          <w:rFonts w:hint="eastAsia" w:ascii="仿宋_GB2312"/>
          <w:b w:val="0"/>
          <w:bCs w:val="0"/>
          <w:sz w:val="32"/>
          <w:szCs w:val="32"/>
          <w:u w:val="none"/>
        </w:rPr>
        <w:t>区镇村衔接的三级养老服务网络。推进区镇村三级公共文化服务体系一体化，加强图书馆、体育馆、体育公园、健身步道等文体设施建设。</w:t>
      </w:r>
      <w:r>
        <w:rPr>
          <w:rFonts w:ascii="仿宋_GB2312"/>
          <w:b w:val="0"/>
          <w:bCs w:val="0"/>
          <w:sz w:val="32"/>
          <w:szCs w:val="32"/>
          <w:u w:val="none"/>
        </w:rPr>
        <w:t>鼓励邻近村庄合建开放共享性公共服务设施</w:t>
      </w:r>
      <w:r>
        <w:rPr>
          <w:rFonts w:hint="eastAsia" w:ascii="仿宋_GB2312"/>
          <w:b w:val="0"/>
          <w:bCs w:val="0"/>
          <w:sz w:val="32"/>
          <w:szCs w:val="32"/>
          <w:u w:val="none"/>
        </w:rPr>
        <w:t>。</w:t>
      </w:r>
      <w:r>
        <w:rPr>
          <w:rFonts w:ascii="仿宋_GB2312"/>
          <w:b w:val="0"/>
          <w:bCs w:val="0"/>
          <w:sz w:val="32"/>
          <w:szCs w:val="32"/>
          <w:u w:val="none"/>
        </w:rPr>
        <w:t>优化提升</w:t>
      </w:r>
      <w:r>
        <w:rPr>
          <w:rFonts w:hint="eastAsia" w:ascii="仿宋_GB2312"/>
          <w:b w:val="0"/>
          <w:bCs w:val="0"/>
          <w:sz w:val="32"/>
          <w:szCs w:val="32"/>
          <w:u w:val="none"/>
        </w:rPr>
        <w:t>“</w:t>
      </w:r>
      <w:r>
        <w:rPr>
          <w:rFonts w:ascii="仿宋_GB2312"/>
          <w:b w:val="0"/>
          <w:bCs w:val="0"/>
          <w:sz w:val="32"/>
          <w:szCs w:val="32"/>
          <w:u w:val="none"/>
        </w:rPr>
        <w:t>四好农村路</w:t>
      </w:r>
      <w:r>
        <w:rPr>
          <w:rFonts w:hint="eastAsia" w:ascii="仿宋_GB2312"/>
          <w:b w:val="0"/>
          <w:bCs w:val="0"/>
          <w:sz w:val="32"/>
          <w:szCs w:val="32"/>
          <w:u w:val="none"/>
        </w:rPr>
        <w:t>”，</w:t>
      </w:r>
      <w:r>
        <w:rPr>
          <w:rFonts w:ascii="仿宋_GB2312"/>
          <w:b w:val="0"/>
          <w:bCs w:val="0"/>
          <w:sz w:val="32"/>
          <w:szCs w:val="32"/>
          <w:u w:val="none"/>
        </w:rPr>
        <w:t>合理衔接城市道路</w:t>
      </w:r>
      <w:r>
        <w:rPr>
          <w:rFonts w:hint="eastAsia" w:ascii="仿宋_GB2312"/>
          <w:b w:val="0"/>
          <w:bCs w:val="0"/>
          <w:sz w:val="32"/>
          <w:szCs w:val="32"/>
          <w:u w:val="none"/>
        </w:rPr>
        <w:t>、干线公路体系，</w:t>
      </w:r>
      <w:r>
        <w:rPr>
          <w:rFonts w:ascii="仿宋_GB2312"/>
          <w:b w:val="0"/>
          <w:bCs w:val="0"/>
          <w:sz w:val="32"/>
          <w:szCs w:val="32"/>
          <w:u w:val="none"/>
        </w:rPr>
        <w:t>推进健身绿道建设</w:t>
      </w:r>
      <w:r>
        <w:rPr>
          <w:rFonts w:hint="eastAsia" w:ascii="仿宋_GB2312"/>
          <w:b w:val="0"/>
          <w:bCs w:val="0"/>
          <w:sz w:val="32"/>
          <w:szCs w:val="32"/>
          <w:u w:val="none"/>
        </w:rPr>
        <w:t>，</w:t>
      </w:r>
      <w:r>
        <w:rPr>
          <w:rFonts w:ascii="仿宋_GB2312"/>
          <w:b w:val="0"/>
          <w:bCs w:val="0"/>
          <w:sz w:val="32"/>
          <w:szCs w:val="32"/>
          <w:u w:val="none"/>
        </w:rPr>
        <w:t>完善乡村公共交通系统</w:t>
      </w:r>
      <w:r>
        <w:rPr>
          <w:rFonts w:hint="eastAsia" w:ascii="仿宋_GB2312"/>
          <w:b w:val="0"/>
          <w:bCs w:val="0"/>
          <w:sz w:val="32"/>
          <w:szCs w:val="32"/>
          <w:u w:val="none"/>
        </w:rPr>
        <w:t>，</w:t>
      </w:r>
      <w:r>
        <w:rPr>
          <w:rFonts w:ascii="仿宋_GB2312"/>
          <w:b w:val="0"/>
          <w:bCs w:val="0"/>
          <w:sz w:val="32"/>
          <w:szCs w:val="32"/>
          <w:u w:val="none"/>
        </w:rPr>
        <w:t>加快区域性农村物流枢纽平台建设</w:t>
      </w:r>
      <w:r>
        <w:rPr>
          <w:rFonts w:hint="eastAsia" w:ascii="仿宋_GB2312"/>
          <w:b w:val="0"/>
          <w:bCs w:val="0"/>
          <w:sz w:val="32"/>
          <w:szCs w:val="32"/>
          <w:u w:val="none"/>
        </w:rPr>
        <w:t>。合理布局供水排水、电力电信、环卫</w:t>
      </w:r>
      <w:r>
        <w:rPr>
          <w:rFonts w:ascii="仿宋_GB2312"/>
          <w:b w:val="0"/>
          <w:bCs w:val="0"/>
          <w:sz w:val="32"/>
          <w:szCs w:val="32"/>
          <w:u w:val="none"/>
        </w:rPr>
        <w:t>等基础设施</w:t>
      </w:r>
      <w:r>
        <w:rPr>
          <w:rFonts w:hint="eastAsia" w:ascii="仿宋_GB2312"/>
          <w:b w:val="0"/>
          <w:bCs w:val="0"/>
          <w:sz w:val="32"/>
          <w:szCs w:val="32"/>
          <w:u w:val="none"/>
        </w:rPr>
        <w:t>，</w:t>
      </w:r>
      <w:r>
        <w:rPr>
          <w:rFonts w:ascii="仿宋_GB2312"/>
          <w:b w:val="0"/>
          <w:bCs w:val="0"/>
          <w:sz w:val="32"/>
          <w:szCs w:val="32"/>
          <w:u w:val="none"/>
        </w:rPr>
        <w:t>支持有条件地区建设农村燃气供应管网</w:t>
      </w:r>
      <w:r>
        <w:rPr>
          <w:rFonts w:hint="eastAsia" w:ascii="仿宋_GB2312"/>
          <w:b w:val="0"/>
          <w:bCs w:val="0"/>
          <w:sz w:val="32"/>
          <w:szCs w:val="32"/>
          <w:u w:val="none"/>
        </w:rPr>
        <w:t>。加快农村新型基础设施建设，相对集中布局建设新能源充换电设施。加强农村基础设施防灾</w:t>
      </w:r>
      <w:r>
        <w:rPr>
          <w:rFonts w:hint="eastAsia"/>
          <w:b w:val="0"/>
          <w:bCs w:val="0"/>
          <w:sz w:val="32"/>
          <w:szCs w:val="32"/>
          <w:u w:val="none"/>
        </w:rPr>
        <w:t>减灾</w:t>
      </w:r>
      <w:r>
        <w:rPr>
          <w:rFonts w:hint="eastAsia" w:ascii="仿宋_GB2312"/>
          <w:b w:val="0"/>
          <w:bCs w:val="0"/>
          <w:sz w:val="32"/>
          <w:szCs w:val="32"/>
          <w:u w:val="none"/>
        </w:rPr>
        <w:t>能力建设，</w:t>
      </w:r>
      <w:r>
        <w:rPr>
          <w:rFonts w:ascii="仿宋_GB2312"/>
          <w:b w:val="0"/>
          <w:bCs w:val="0"/>
          <w:sz w:val="32"/>
          <w:szCs w:val="32"/>
          <w:u w:val="none"/>
        </w:rPr>
        <w:t>提高农村自然灾害监测预警能力</w:t>
      </w:r>
      <w:r>
        <w:rPr>
          <w:rFonts w:hint="eastAsia" w:ascii="仿宋_GB2312"/>
          <w:b w:val="0"/>
          <w:bCs w:val="0"/>
          <w:sz w:val="32"/>
          <w:szCs w:val="32"/>
          <w:u w:val="none"/>
        </w:rPr>
        <w:t>，</w:t>
      </w:r>
      <w:r>
        <w:rPr>
          <w:rFonts w:ascii="仿宋_GB2312"/>
          <w:b w:val="0"/>
          <w:bCs w:val="0"/>
          <w:sz w:val="32"/>
          <w:szCs w:val="32"/>
          <w:u w:val="none"/>
        </w:rPr>
        <w:t>提高应急避难场所服务覆盖率</w:t>
      </w:r>
      <w:r>
        <w:rPr>
          <w:rFonts w:hint="eastAsia" w:ascii="仿宋_GB2312"/>
          <w:b w:val="0"/>
          <w:bCs w:val="0"/>
          <w:sz w:val="32"/>
          <w:szCs w:val="32"/>
          <w:u w:val="none"/>
        </w:rPr>
        <w:t>。</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50" w:lineRule="exact"/>
        <w:ind w:left="198" w:leftChars="0" w:firstLineChars="0"/>
        <w:textAlignment w:val="auto"/>
        <w:rPr>
          <w:b w:val="0"/>
          <w:bCs w:val="0"/>
          <w:sz w:val="32"/>
          <w:szCs w:val="32"/>
          <w:u w:val="none"/>
        </w:rPr>
      </w:pPr>
      <w:bookmarkStart w:id="67" w:name="_Toc13977"/>
      <w:r>
        <w:rPr>
          <w:rFonts w:hint="eastAsia"/>
          <w:b w:val="0"/>
          <w:bCs w:val="0"/>
          <w:sz w:val="32"/>
          <w:szCs w:val="32"/>
          <w:u w:val="none"/>
        </w:rPr>
        <w:t>创新土地政策促进城乡融合发展</w:t>
      </w:r>
      <w:bookmarkEnd w:id="67"/>
    </w:p>
    <w:p>
      <w:pPr>
        <w:keepNext w:val="0"/>
        <w:keepLines w:val="0"/>
        <w:pageBreakBefore w:val="0"/>
        <w:widowControl w:val="0"/>
        <w:kinsoku/>
        <w:wordWrap/>
        <w:overflowPunct/>
        <w:topLinePunct w:val="0"/>
        <w:autoSpaceDE/>
        <w:autoSpaceDN/>
        <w:bidi w:val="0"/>
        <w:adjustRightInd/>
        <w:snapToGrid/>
        <w:spacing w:line="550" w:lineRule="exact"/>
        <w:ind w:firstLine="600"/>
        <w:textAlignment w:val="auto"/>
        <w:rPr>
          <w:rFonts w:hint="eastAsia" w:ascii="仿宋_GB2312" w:cs="Times New Roman"/>
          <w:b w:val="0"/>
          <w:bCs w:val="0"/>
          <w:kern w:val="0"/>
          <w:sz w:val="32"/>
          <w:szCs w:val="32"/>
          <w:u w:val="none"/>
        </w:rPr>
      </w:pPr>
      <w:r>
        <w:rPr>
          <w:rFonts w:hint="eastAsia" w:ascii="仿宋_GB2312"/>
          <w:b w:val="0"/>
          <w:bCs w:val="0"/>
          <w:sz w:val="32"/>
          <w:szCs w:val="32"/>
          <w:u w:val="none"/>
        </w:rPr>
        <w:t>科学引导乡村空间布局和产业投放，优化农村土地利用结构，探索适应产业发展的农村留用地开发</w:t>
      </w:r>
      <w:r>
        <w:rPr>
          <w:rFonts w:hint="eastAsia"/>
          <w:b w:val="0"/>
          <w:bCs w:val="0"/>
          <w:sz w:val="32"/>
          <w:szCs w:val="32"/>
          <w:u w:val="none"/>
        </w:rPr>
        <w:t>利用</w:t>
      </w:r>
      <w:r>
        <w:rPr>
          <w:rFonts w:hint="eastAsia" w:ascii="仿宋_GB2312"/>
          <w:b w:val="0"/>
          <w:bCs w:val="0"/>
          <w:sz w:val="32"/>
          <w:szCs w:val="32"/>
          <w:u w:val="none"/>
        </w:rPr>
        <w:t>改造政策。建立健全城乡统一的建设用地市场，完善农村集体经营性建设用地入市配套政策，优先推进存量集体经营性建设用地入市。鼓励以乡镇为单元实施全域土地综合整治。严格落实每年不少于</w:t>
      </w:r>
      <w:r>
        <w:rPr>
          <w:rFonts w:hint="eastAsia"/>
          <w:b w:val="0"/>
          <w:bCs w:val="0"/>
          <w:sz w:val="32"/>
          <w:szCs w:val="32"/>
          <w:u w:val="none"/>
        </w:rPr>
        <w:t>10</w:t>
      </w:r>
      <w:r>
        <w:rPr>
          <w:rFonts w:hint="eastAsia" w:ascii="仿宋_GB2312"/>
          <w:b w:val="0"/>
          <w:bCs w:val="0"/>
          <w:sz w:val="32"/>
          <w:szCs w:val="32"/>
          <w:u w:val="none"/>
        </w:rPr>
        <w:t>%的市级用地指标保障乡村振兴项目新增建设用地需求。实行点状供地模式，推广斗门岭南大地田园综合体等点状供地经验，支持现代种养业、农产品加工流通业、乡村休闲旅游业等乡村产业项目及其配套的基础设施和公共服务设施建设。积极盘活存量集体建设用地，优先保障农民居住、乡村基础设施、公共服务空间和产业用地需求。</w:t>
      </w:r>
    </w:p>
    <w:p>
      <w:pPr>
        <w:pStyle w:val="3"/>
        <w:pageBreakBefore w:val="0"/>
        <w:kinsoku/>
        <w:wordWrap/>
        <w:overflowPunct/>
        <w:topLinePunct w:val="0"/>
        <w:autoSpaceDE/>
        <w:autoSpaceDN/>
        <w:bidi w:val="0"/>
        <w:adjustRightInd/>
        <w:snapToGrid/>
        <w:spacing w:before="0" w:beforeLines="0" w:after="0" w:afterLines="0" w:line="579" w:lineRule="exact"/>
        <w:textAlignment w:val="auto"/>
        <w:rPr>
          <w:b w:val="0"/>
          <w:bCs w:val="0"/>
          <w:sz w:val="32"/>
          <w:szCs w:val="32"/>
          <w:u w:val="none"/>
        </w:rPr>
      </w:pPr>
      <w:r>
        <w:rPr>
          <w:b w:val="0"/>
          <w:bCs w:val="0"/>
          <w:sz w:val="32"/>
          <w:szCs w:val="32"/>
          <w:u w:val="none"/>
        </w:rPr>
        <w:br w:type="page"/>
      </w:r>
      <w:bookmarkStart w:id="68" w:name="_Toc23323"/>
      <w:r>
        <w:rPr>
          <w:rFonts w:hint="eastAsia" w:ascii="方正小标宋简体" w:hAnsi="方正小标宋简体" w:eastAsia="方正小标宋简体" w:cs="方正小标宋简体"/>
          <w:b w:val="0"/>
          <w:bCs w:val="0"/>
          <w:sz w:val="44"/>
          <w:szCs w:val="44"/>
          <w:u w:val="none"/>
        </w:rPr>
        <w:t>生态空间</w:t>
      </w:r>
      <w:bookmarkEnd w:id="68"/>
    </w:p>
    <w:p>
      <w:pPr>
        <w:rPr>
          <w:b w:val="0"/>
          <w:bCs w:val="0"/>
        </w:rPr>
      </w:pPr>
    </w:p>
    <w:p>
      <w:pPr>
        <w:pStyle w:val="85"/>
        <w:pageBreakBefore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69" w:name="_Toc2400"/>
      <w:r>
        <w:rPr>
          <w:rFonts w:hint="eastAsia"/>
          <w:b w:val="0"/>
          <w:bCs w:val="0"/>
          <w:sz w:val="32"/>
          <w:szCs w:val="32"/>
          <w:u w:val="none"/>
        </w:rPr>
        <w:t>构建“一带两屏，多廊全网”生态保护格局</w:t>
      </w:r>
      <w:bookmarkEnd w:id="69"/>
    </w:p>
    <w:p>
      <w:pPr>
        <w:pageBreakBefore w:val="0"/>
        <w:kinsoku/>
        <w:wordWrap/>
        <w:overflowPunct/>
        <w:topLinePunct w:val="0"/>
        <w:autoSpaceDE/>
        <w:autoSpaceDN/>
        <w:bidi w:val="0"/>
        <w:adjustRightInd/>
        <w:snapToGrid/>
        <w:spacing w:line="579" w:lineRule="exact"/>
        <w:ind w:firstLine="600"/>
        <w:textAlignment w:val="auto"/>
        <w:rPr>
          <w:b w:val="0"/>
          <w:bCs w:val="0"/>
          <w:sz w:val="32"/>
          <w:szCs w:val="32"/>
          <w:u w:val="none"/>
        </w:rPr>
      </w:pPr>
      <w:r>
        <w:rPr>
          <w:rFonts w:hint="eastAsia" w:ascii="仿宋_GB2312"/>
          <w:b w:val="0"/>
          <w:bCs w:val="0"/>
          <w:sz w:val="32"/>
          <w:szCs w:val="32"/>
          <w:u w:val="none"/>
        </w:rPr>
        <w:t>立足广东省“一链两屏多廊道”国土空间保护格局与“三屏五江多廊道”生态空间格局，充分发挥生态绿地和水系对提升城市</w:t>
      </w:r>
      <w:r>
        <w:rPr>
          <w:rFonts w:hint="eastAsia"/>
          <w:b w:val="0"/>
          <w:bCs w:val="0"/>
          <w:sz w:val="32"/>
          <w:szCs w:val="32"/>
          <w:u w:val="none"/>
        </w:rPr>
        <w:t>生态</w:t>
      </w:r>
      <w:r>
        <w:rPr>
          <w:rFonts w:hint="eastAsia" w:ascii="仿宋_GB2312"/>
          <w:b w:val="0"/>
          <w:bCs w:val="0"/>
          <w:sz w:val="32"/>
          <w:szCs w:val="32"/>
          <w:u w:val="none"/>
        </w:rPr>
        <w:t>环境质量的支撑作用，构建珠海“一带两屏，多廊全网”的生态保护格局。其中，“一带”指承担区域生态连续性作用的海岸线生态保护带；“两屏”指起到核心生态源地功能的北部山系生态屏障与南部海洋生态屏障；“多廊”指串联区域生态要素，搭建珠海生态保护格局骨架的多条水系生态廊道；“全网”指强化生态保护格局连通性、提升生态服务质量的生态网络，详见专栏</w:t>
      </w:r>
      <w:r>
        <w:rPr>
          <w:b w:val="0"/>
          <w:bCs w:val="0"/>
          <w:sz w:val="32"/>
          <w:szCs w:val="32"/>
          <w:u w:val="none"/>
        </w:rPr>
        <w:t>6</w:t>
      </w:r>
      <w:r>
        <w:rPr>
          <w:rFonts w:ascii="仿宋_GB2312"/>
          <w:b w:val="0"/>
          <w:bCs w:val="0"/>
          <w:sz w:val="32"/>
          <w:szCs w:val="32"/>
          <w:u w:val="none"/>
        </w:rPr>
        <w:t>-</w:t>
      </w:r>
      <w:r>
        <w:rPr>
          <w:b w:val="0"/>
          <w:bCs w:val="0"/>
          <w:sz w:val="32"/>
          <w:szCs w:val="32"/>
          <w:u w:val="none"/>
        </w:rPr>
        <w:t>1</w:t>
      </w:r>
      <w:r>
        <w:rPr>
          <w:rFonts w:ascii="仿宋_GB2312"/>
          <w:b w:val="0"/>
          <w:bCs w:val="0"/>
          <w:sz w:val="32"/>
          <w:szCs w:val="32"/>
          <w:u w:val="none"/>
        </w:rPr>
        <w:t>。</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288" w:type="dxa"/>
            <w:gridSpan w:val="2"/>
            <w:shd w:val="clear" w:color="auto" w:fill="D9D9D9"/>
            <w:noWrap w:val="0"/>
            <w:vAlign w:val="top"/>
          </w:tcPr>
          <w:p>
            <w:pPr>
              <w:spacing w:before="46" w:after="46"/>
              <w:ind w:firstLine="0" w:firstLineChars="0"/>
              <w:jc w:val="center"/>
              <w:rPr>
                <w:rFonts w:hint="eastAsia" w:eastAsia="黑体" w:cs="Times New Roman"/>
                <w:b w:val="0"/>
                <w:bCs w:val="0"/>
                <w:kern w:val="0"/>
                <w:u w:val="none"/>
              </w:rPr>
            </w:pPr>
            <w:r>
              <w:rPr>
                <w:rFonts w:hint="eastAsia" w:eastAsia="黑体" w:cs="Times New Roman"/>
                <w:b w:val="0"/>
                <w:bCs w:val="0"/>
                <w:kern w:val="0"/>
                <w:u w:val="none"/>
              </w:rPr>
              <w:t>专栏</w:t>
            </w:r>
            <w:r>
              <w:rPr>
                <w:rFonts w:eastAsia="黑体" w:cs="Times New Roman"/>
                <w:b w:val="0"/>
                <w:bCs w:val="0"/>
                <w:kern w:val="0"/>
                <w:u w:val="none"/>
              </w:rPr>
              <w:t xml:space="preserve">6-1： </w:t>
            </w:r>
            <w:r>
              <w:rPr>
                <w:rFonts w:hint="eastAsia" w:eastAsia="黑体" w:cs="Times New Roman"/>
                <w:b w:val="0"/>
                <w:bCs w:val="0"/>
                <w:kern w:val="0"/>
                <w:u w:val="none"/>
              </w:rPr>
              <w:t>“一带两屏，多廊全网”的生态保护格局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93" w:type="dxa"/>
            <w:noWrap w:val="0"/>
            <w:vAlign w:val="top"/>
          </w:tcPr>
          <w:p>
            <w:pPr>
              <w:pStyle w:val="8"/>
              <w:rPr>
                <w:b w:val="0"/>
                <w:bCs w:val="0"/>
                <w:color w:val="auto"/>
                <w:u w:val="none"/>
              </w:rPr>
            </w:pPr>
            <w:r>
              <w:rPr>
                <w:rFonts w:hint="eastAsia"/>
                <w:b w:val="0"/>
                <w:bCs w:val="0"/>
                <w:u w:val="none"/>
              </w:rPr>
              <w:t>类别</w:t>
            </w:r>
          </w:p>
        </w:tc>
        <w:tc>
          <w:tcPr>
            <w:tcW w:w="8395" w:type="dxa"/>
            <w:noWrap w:val="0"/>
            <w:vAlign w:val="top"/>
          </w:tcPr>
          <w:p>
            <w:pPr>
              <w:pStyle w:val="8"/>
              <w:rPr>
                <w:b w:val="0"/>
                <w:bCs w:val="0"/>
                <w:color w:val="auto"/>
                <w:u w:val="none"/>
              </w:rPr>
            </w:pPr>
            <w:r>
              <w:rPr>
                <w:rFonts w:hint="eastAsia"/>
                <w:b w:val="0"/>
                <w:bCs w:val="0"/>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93" w:type="dxa"/>
            <w:noWrap w:val="0"/>
            <w:vAlign w:val="center"/>
          </w:tcPr>
          <w:p>
            <w:pPr>
              <w:pStyle w:val="8"/>
              <w:rPr>
                <w:b w:val="0"/>
                <w:bCs w:val="0"/>
                <w:u w:val="none"/>
              </w:rPr>
            </w:pPr>
            <w:r>
              <w:rPr>
                <w:rFonts w:hint="eastAsia"/>
                <w:b w:val="0"/>
                <w:bCs w:val="0"/>
                <w:u w:val="none"/>
              </w:rPr>
              <w:t>一带</w:t>
            </w:r>
          </w:p>
        </w:tc>
        <w:tc>
          <w:tcPr>
            <w:tcW w:w="8395" w:type="dxa"/>
            <w:noWrap w:val="0"/>
            <w:vAlign w:val="top"/>
          </w:tcPr>
          <w:p>
            <w:pPr>
              <w:pStyle w:val="61"/>
              <w:ind w:firstLine="480"/>
              <w:rPr>
                <w:b w:val="0"/>
                <w:bCs w:val="0"/>
                <w:u w:val="none"/>
              </w:rPr>
            </w:pPr>
            <w:r>
              <w:rPr>
                <w:rFonts w:hint="eastAsia"/>
                <w:b w:val="0"/>
                <w:bCs w:val="0"/>
                <w:u w:val="none"/>
              </w:rPr>
              <w:t>指串联磨刀门、坭湾门、鸡啼门、虎跳门、崖门等水道口门，金星湾、淇澳湾、唐家湾、凤凰湾、香炉湾、九洲湾、拱北湾、横琴湾、南湾、江门银湖湾等重要海湾，淇澳岛、大</w:t>
            </w:r>
            <w:r>
              <w:rPr>
                <w:rFonts w:hint="eastAsia" w:ascii="微软雅黑" w:hAnsi="微软雅黑" w:eastAsia="微软雅黑" w:cs="微软雅黑"/>
                <w:b w:val="0"/>
                <w:bCs w:val="0"/>
                <w:u w:val="none"/>
              </w:rPr>
              <w:t>杧</w:t>
            </w:r>
            <w:r>
              <w:rPr>
                <w:rFonts w:hint="eastAsia"/>
                <w:b w:val="0"/>
                <w:bCs w:val="0"/>
                <w:u w:val="none"/>
              </w:rPr>
              <w:t>岛、</w:t>
            </w:r>
            <w:r>
              <w:rPr>
                <w:rFonts w:hint="eastAsia" w:ascii="仿宋_GB2312" w:hAnsi="仿宋_GB2312" w:cs="仿宋_GB2312"/>
                <w:b w:val="0"/>
                <w:bCs w:val="0"/>
                <w:u w:val="none"/>
              </w:rPr>
              <w:t>荷包岛等海岛以及红树林等近海湿地生态系统的“海岸线生态保护带”。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93" w:type="dxa"/>
            <w:noWrap w:val="0"/>
            <w:vAlign w:val="center"/>
          </w:tcPr>
          <w:p>
            <w:pPr>
              <w:pStyle w:val="8"/>
              <w:rPr>
                <w:b w:val="0"/>
                <w:bCs w:val="0"/>
                <w:u w:val="none"/>
              </w:rPr>
            </w:pPr>
            <w:r>
              <w:rPr>
                <w:rFonts w:hint="eastAsia"/>
                <w:b w:val="0"/>
                <w:bCs w:val="0"/>
                <w:u w:val="none"/>
              </w:rPr>
              <w:t>两屏</w:t>
            </w:r>
          </w:p>
        </w:tc>
        <w:tc>
          <w:tcPr>
            <w:tcW w:w="8395" w:type="dxa"/>
            <w:noWrap w:val="0"/>
            <w:vAlign w:val="top"/>
          </w:tcPr>
          <w:p>
            <w:pPr>
              <w:pStyle w:val="61"/>
              <w:ind w:firstLine="480"/>
              <w:rPr>
                <w:b w:val="0"/>
                <w:bCs w:val="0"/>
                <w:u w:val="none"/>
              </w:rPr>
            </w:pPr>
            <w:r>
              <w:rPr>
                <w:rFonts w:hint="eastAsia"/>
                <w:b w:val="0"/>
                <w:bCs w:val="0"/>
                <w:u w:val="none"/>
              </w:rPr>
              <w:t>指以珠海高新凤凰山自然保护区、珠海香洲黑白面将军山森林公园、珠海斗门竹蒿岭公园、珠海斗门黄杨山自然保护区、珠海斗门锅盖栋自然保护区及</w:t>
            </w:r>
            <w:r>
              <w:rPr>
                <w:rFonts w:hint="eastAsia" w:ascii="微软雅黑" w:hAnsi="微软雅黑" w:eastAsia="微软雅黑" w:cs="微软雅黑"/>
                <w:b w:val="0"/>
                <w:bCs w:val="0"/>
                <w:u w:val="none"/>
              </w:rPr>
              <w:t>孖</w:t>
            </w:r>
            <w:r>
              <w:rPr>
                <w:rFonts w:hint="eastAsia" w:ascii="仿宋_GB2312" w:hAnsi="仿宋_GB2312" w:cs="仿宋_GB2312"/>
                <w:b w:val="0"/>
                <w:bCs w:val="0"/>
                <w:u w:val="none"/>
              </w:rPr>
              <w:t>髻山等重要山体组成的“北部山系生态屏障”；以及以广东珠江口中华白海豚国家级自然保护区、珠海万山群岛自然保护区、珠海淇澳</w:t>
            </w:r>
            <w:r>
              <w:rPr>
                <w:rFonts w:hint="eastAsia"/>
                <w:b w:val="0"/>
                <w:bCs w:val="0"/>
                <w:u w:val="none"/>
              </w:rPr>
              <w:t>-担杆岛自然保护区、珠海庙湾珊瑚自然保护区及珠海万山群岛渔业资源产卵场等重要海域空间组成的“南部海洋生态屏障”。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93" w:type="dxa"/>
            <w:noWrap w:val="0"/>
            <w:vAlign w:val="center"/>
          </w:tcPr>
          <w:p>
            <w:pPr>
              <w:pStyle w:val="8"/>
              <w:rPr>
                <w:b w:val="0"/>
                <w:bCs w:val="0"/>
                <w:color w:val="auto"/>
                <w:u w:val="none"/>
              </w:rPr>
            </w:pPr>
            <w:r>
              <w:rPr>
                <w:rFonts w:hint="eastAsia"/>
                <w:b w:val="0"/>
                <w:bCs w:val="0"/>
                <w:color w:val="auto"/>
                <w:u w:val="none"/>
              </w:rPr>
              <w:t>多廊</w:t>
            </w:r>
          </w:p>
        </w:tc>
        <w:tc>
          <w:tcPr>
            <w:tcW w:w="8395" w:type="dxa"/>
            <w:noWrap w:val="0"/>
            <w:vAlign w:val="top"/>
          </w:tcPr>
          <w:p>
            <w:pPr>
              <w:pStyle w:val="61"/>
              <w:ind w:firstLine="480"/>
              <w:rPr>
                <w:b w:val="0"/>
                <w:bCs w:val="0"/>
                <w:u w:val="none"/>
              </w:rPr>
            </w:pPr>
            <w:r>
              <w:rPr>
                <w:rFonts w:hint="eastAsia"/>
                <w:b w:val="0"/>
                <w:bCs w:val="0"/>
                <w:u w:val="none"/>
              </w:rPr>
              <w:t>指磨刀门、坭湾门、鸡啼门、虎跳门、崖门等口门水道，黄杨河、荷麻溪、螺洲溪、前山河、马骝洲水道、鹤洲水道、天沐河、天生河-胜利河、大门口水道等河流共13条水系主生态廊道；以及中珠排洪渠、凤凰河、洪湾涌、南水沥、翠屏路排洪渠-金凤路排洪渠、白沙河排洪渠、小钓排洪渠、保税中排洪渠、中心河-北排河、南排河、二号主排河、鲫鱼涌、小林涌、红灯河、幸福河、旧界河、新界河涌、灯笼东六围涌、黄镜门水道、壳塘涌、高中部排洪渠-龙坛涌、鸡咀涌、合掌涌-大海环涌、十字沥、平塘涌、五山大涌、五山雷蛛北运河、沙龙涌、江湾涌排洪渠-向阳河、南门涌、北围珠中交界河共31条水系次生态廊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93" w:type="dxa"/>
            <w:noWrap w:val="0"/>
            <w:vAlign w:val="center"/>
          </w:tcPr>
          <w:p>
            <w:pPr>
              <w:pStyle w:val="8"/>
              <w:rPr>
                <w:rFonts w:hint="eastAsia"/>
                <w:b w:val="0"/>
                <w:bCs w:val="0"/>
                <w:u w:val="none"/>
              </w:rPr>
            </w:pPr>
            <w:r>
              <w:rPr>
                <w:rFonts w:hint="eastAsia"/>
                <w:b w:val="0"/>
                <w:bCs w:val="0"/>
                <w:u w:val="none"/>
              </w:rPr>
              <w:t>全网</w:t>
            </w:r>
          </w:p>
        </w:tc>
        <w:tc>
          <w:tcPr>
            <w:tcW w:w="8395" w:type="dxa"/>
            <w:noWrap w:val="0"/>
            <w:vAlign w:val="top"/>
          </w:tcPr>
          <w:p>
            <w:pPr>
              <w:pStyle w:val="61"/>
              <w:ind w:firstLine="480"/>
              <w:rPr>
                <w:rFonts w:hint="eastAsia" w:hAnsi="宋体"/>
                <w:b w:val="0"/>
                <w:bCs w:val="0"/>
                <w:u w:val="none"/>
              </w:rPr>
            </w:pPr>
            <w:r>
              <w:rPr>
                <w:rFonts w:hint="eastAsia" w:hAnsi="宋体"/>
                <w:b w:val="0"/>
                <w:bCs w:val="0"/>
                <w:u w:val="none"/>
              </w:rPr>
              <w:t>指依托西部中央大田园、斗门生态农业园田园水网，高快速路及交通性主干道防护绿带，绿道、碧道、古驿道等特色廊道以及城市绿地系统</w:t>
            </w:r>
            <w:r>
              <w:rPr>
                <w:rFonts w:hint="eastAsia" w:ascii="仿宋_GB2312" w:hAnsi="仿宋_GB2312" w:cs="仿宋_GB2312"/>
                <w:b w:val="0"/>
                <w:bCs w:val="0"/>
                <w:u w:val="none"/>
              </w:rPr>
              <w:t>构建</w:t>
            </w:r>
            <w:r>
              <w:rPr>
                <w:rFonts w:hint="eastAsia" w:hAnsi="宋体"/>
                <w:b w:val="0"/>
                <w:bCs w:val="0"/>
                <w:u w:val="none"/>
              </w:rPr>
              <w:t>的生态网络。</w:t>
            </w:r>
          </w:p>
        </w:tc>
      </w:tr>
    </w:tbl>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70" w:name="_Toc13281"/>
      <w:r>
        <w:rPr>
          <w:rFonts w:hint="eastAsia"/>
          <w:b w:val="0"/>
          <w:bCs w:val="0"/>
          <w:sz w:val="32"/>
          <w:szCs w:val="32"/>
          <w:u w:val="none"/>
        </w:rPr>
        <w:t>发挥“一带”的生态脊梁作用</w:t>
      </w:r>
      <w:bookmarkEnd w:id="70"/>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落实广东省国土空间保护格局中“南部海洋生态保护链”与“海岸线生态廊道”，构建珠海海岸线生态保护带。实施岸线占补平衡制度，落实退缩线管控要求。开展海岸带生态修复，推动红树林生态系统保护修复、生态海堤建设等重大工程。强化生物多样性保护，修复淇澳岛、唐家湾、拱北湾、大门口湿地、大</w:t>
      </w:r>
      <w:r>
        <w:rPr>
          <w:rFonts w:hint="eastAsia" w:ascii="微软雅黑" w:hAnsi="微软雅黑" w:eastAsia="微软雅黑" w:cs="微软雅黑"/>
          <w:b w:val="0"/>
          <w:bCs w:val="0"/>
          <w:sz w:val="32"/>
          <w:szCs w:val="32"/>
          <w:u w:val="none"/>
        </w:rPr>
        <w:t>杧</w:t>
      </w:r>
      <w:r>
        <w:rPr>
          <w:rFonts w:hint="eastAsia" w:ascii="仿宋_GB2312" w:hAnsi="仿宋_GB2312" w:cs="仿宋_GB2312"/>
          <w:b w:val="0"/>
          <w:bCs w:val="0"/>
          <w:sz w:val="32"/>
          <w:szCs w:val="32"/>
          <w:u w:val="none"/>
        </w:rPr>
        <w:t>岛、雷蛛垦区等重要候鸟栖息地及迁徙“踏脚石”</w:t>
      </w:r>
      <w:r>
        <w:rPr>
          <w:rFonts w:hint="eastAsia" w:ascii="仿宋_GB2312"/>
          <w:b w:val="0"/>
          <w:bCs w:val="0"/>
          <w:sz w:val="32"/>
          <w:szCs w:val="32"/>
          <w:u w:val="none"/>
        </w:rPr>
        <w:t>。</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71" w:name="_Toc14940"/>
      <w:r>
        <w:rPr>
          <w:rFonts w:hint="eastAsia"/>
          <w:b w:val="0"/>
          <w:bCs w:val="0"/>
          <w:sz w:val="32"/>
          <w:szCs w:val="32"/>
          <w:u w:val="none"/>
        </w:rPr>
        <w:t>夯实“两屏”的生态筑底作用</w:t>
      </w:r>
      <w:bookmarkEnd w:id="71"/>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筑牢北部山系生态屏障。严格落实自然保护地、生态保护红线、山体保护线、林地保护等级、</w:t>
      </w:r>
      <w:r>
        <w:rPr>
          <w:rFonts w:hint="eastAsia"/>
          <w:b w:val="0"/>
          <w:bCs w:val="0"/>
          <w:sz w:val="32"/>
          <w:szCs w:val="32"/>
          <w:u w:val="none"/>
        </w:rPr>
        <w:t>25</w:t>
      </w:r>
      <w:r>
        <w:rPr>
          <w:rFonts w:hint="eastAsia" w:ascii="仿宋_GB2312"/>
          <w:b w:val="0"/>
          <w:bCs w:val="0"/>
          <w:sz w:val="32"/>
          <w:szCs w:val="32"/>
          <w:u w:val="none"/>
        </w:rPr>
        <w:t>米等高线以及“三线一单”管控要求，划分三级控制区引导山体生态空间及周边开发建设。必须开展的保护利用活动应减少对自然山体、水体和植被的破坏，避免干扰野生动物的栖息和繁衍活动，维护生物多样性和生态平衡；按照低影响、生态化的原则完善相应配套设施，促进科研、科普、休闲、游憩等功能复合，满足城市生活需要。</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筑牢南部海洋生态屏障。落实自然保护地、广东省国土空间保护格局中“南部海洋生态保护链”、生态空间格局中“蓝色海洋生态屏障”及海洋“两空间内部一红线”保护要求。严格管控入海污染物排放，建立“陆域-流域-海域”联治的海洋污染防治体系。严格执行渔船“双控”及海洋伏季休渔制度，减轻近海捕捞强度。加强白海豚、海草床、珊瑚礁栖息地保护修复工作，系统推进海岛生态修复、近岸海域污染防治等重大工程。</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72" w:name="_Toc25378"/>
      <w:r>
        <w:rPr>
          <w:rFonts w:hint="eastAsia"/>
          <w:b w:val="0"/>
          <w:bCs w:val="0"/>
          <w:sz w:val="32"/>
          <w:szCs w:val="32"/>
          <w:u w:val="none"/>
        </w:rPr>
        <w:t>强化“多廊”的生态骨架作用</w:t>
      </w:r>
      <w:bookmarkEnd w:id="72"/>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落实广东省国土空间保护格局、生态空间格局中“西江及其支流水系生态廊道”保护要求，加强与省域“粤港澳大湾区外围丘陵浅山生态屏障”等重点生态空间的连通，构建珠海水系生态廊道网络。</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73" w:name="_Toc2461"/>
      <w:r>
        <w:rPr>
          <w:rFonts w:hint="eastAsia"/>
          <w:b w:val="0"/>
          <w:bCs w:val="0"/>
          <w:sz w:val="32"/>
          <w:szCs w:val="32"/>
          <w:u w:val="none"/>
        </w:rPr>
        <w:t>织补“全网”的生态连通作用</w:t>
      </w:r>
      <w:bookmarkEnd w:id="73"/>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推进田水路林村综合整治，织补田园水网推动耕地连片化，开展农业污染治理，增强西部中央大田园、斗门生态农业园两大农田集聚区耕地生态系统稳定性，引导生态绿地与稳定耕地融合布局。实施绿色通道品质提升行动，建设高快速路及交通性主干道防护绿带串联基本城市组团。保护文化遗产古驿道、绿道、碧道，通过生态网络串联历史文化保护空间，形成“环山滨水、产城相通、文景相融”的休闲慢行游线。</w:t>
      </w:r>
      <w:r>
        <w:rPr>
          <w:rFonts w:hint="eastAsia"/>
          <w:b w:val="0"/>
          <w:bCs w:val="0"/>
          <w:sz w:val="32"/>
          <w:szCs w:val="32"/>
          <w:u w:val="none"/>
        </w:rPr>
        <w:t>进一步</w:t>
      </w:r>
      <w:r>
        <w:rPr>
          <w:rFonts w:hint="eastAsia" w:ascii="仿宋_GB2312"/>
          <w:b w:val="0"/>
          <w:bCs w:val="0"/>
          <w:sz w:val="32"/>
          <w:szCs w:val="32"/>
          <w:u w:val="none"/>
        </w:rPr>
        <w:t>强化对绿美广东生态建设的落实和空间支撑，建立永久保护绿地及四级公园体系，使自然空间与城市空间紧密相连，发挥景观游憩价值。推进生态社区网络建设重大工程，提高城市生态韧性与人居环境品质，彰显珠海宜居城市魅力。</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74" w:name="_Toc29558"/>
      <w:r>
        <w:rPr>
          <w:rFonts w:hint="eastAsia"/>
          <w:b w:val="0"/>
          <w:bCs w:val="0"/>
          <w:sz w:val="32"/>
          <w:szCs w:val="32"/>
          <w:u w:val="none"/>
        </w:rPr>
        <w:t>建立自然保护地体系</w:t>
      </w:r>
      <w:bookmarkEnd w:id="74"/>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建立陆海统筹、以自然保护区为主体、森林自然公园为基础、湿地自然公园为特色的自然保护地体系。按生态系统完整、保护管理统一的原则，系统整合优化。做好自然保护地整合优化预案落地、勘界立标工作，建立政府监管、管理机构管理、社会积极参与的三级保护机制，完善基础设施设备和监测监管体系，有效保护珠海市典型生态系统类型、自然景观、国家和省重点保护物种。</w:t>
      </w:r>
      <w:r>
        <w:rPr>
          <w:rFonts w:hint="eastAsia"/>
          <w:b w:val="0"/>
          <w:bCs w:val="0"/>
          <w:sz w:val="32"/>
          <w:szCs w:val="32"/>
          <w:u w:val="none"/>
        </w:rPr>
        <w:t>对于</w:t>
      </w:r>
      <w:r>
        <w:rPr>
          <w:rFonts w:hint="eastAsia" w:ascii="仿宋_GB2312"/>
          <w:b w:val="0"/>
          <w:bCs w:val="0"/>
          <w:sz w:val="32"/>
          <w:szCs w:val="32"/>
          <w:u w:val="none"/>
        </w:rPr>
        <w:t>未纳入生态保护红线的自然保护地，在进行开发建设活动时应遵守相关规定。</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79" w:lineRule="exact"/>
        <w:textAlignment w:val="auto"/>
        <w:rPr>
          <w:rFonts w:hint="eastAsia"/>
          <w:b w:val="0"/>
          <w:bCs w:val="0"/>
          <w:sz w:val="32"/>
          <w:szCs w:val="32"/>
          <w:u w:val="none"/>
        </w:rPr>
      </w:pPr>
      <w:r>
        <w:rPr>
          <w:b w:val="0"/>
          <w:bCs w:val="0"/>
          <w:sz w:val="32"/>
          <w:szCs w:val="32"/>
          <w:u w:val="none"/>
        </w:rPr>
        <w:br w:type="page"/>
      </w:r>
      <w:bookmarkStart w:id="75" w:name="_Toc7929"/>
      <w:r>
        <w:rPr>
          <w:rFonts w:hint="eastAsia" w:ascii="方正小标宋简体" w:hAnsi="方正小标宋简体" w:eastAsia="方正小标宋简体" w:cs="方正小标宋简体"/>
          <w:b w:val="0"/>
          <w:bCs w:val="0"/>
          <w:sz w:val="44"/>
          <w:szCs w:val="44"/>
          <w:u w:val="none"/>
        </w:rPr>
        <w:t>城镇空间</w:t>
      </w:r>
      <w:bookmarkEnd w:id="75"/>
    </w:p>
    <w:p>
      <w:pPr>
        <w:pStyle w:val="81"/>
        <w:keepNext w:val="0"/>
        <w:keepLines w:val="0"/>
        <w:pageBreakBefore w:val="0"/>
        <w:widowControl w:val="0"/>
        <w:numPr>
          <w:ilvl w:val="0"/>
          <w:numId w:val="8"/>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b w:val="0"/>
          <w:bCs w:val="0"/>
          <w:sz w:val="32"/>
          <w:szCs w:val="32"/>
          <w:u w:val="none"/>
        </w:rPr>
      </w:pPr>
      <w:bookmarkStart w:id="76" w:name="_Toc7800"/>
      <w:r>
        <w:rPr>
          <w:b w:val="0"/>
          <w:bCs w:val="0"/>
          <w:sz w:val="32"/>
          <w:szCs w:val="32"/>
          <w:u w:val="none"/>
        </w:rPr>
        <w:t>城市开发格局</w:t>
      </w:r>
      <w:bookmarkEnd w:id="76"/>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77" w:name="_Toc8789"/>
      <w:r>
        <w:rPr>
          <w:rFonts w:hint="eastAsia"/>
          <w:b w:val="0"/>
          <w:bCs w:val="0"/>
          <w:sz w:val="32"/>
          <w:szCs w:val="32"/>
          <w:u w:val="none"/>
        </w:rPr>
        <w:t>形成“一主一副、一特一优、若干组团”全域城镇空间格局</w:t>
      </w:r>
      <w:bookmarkEnd w:id="77"/>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ascii="仿宋_GB2312"/>
          <w:b w:val="0"/>
          <w:bCs w:val="0"/>
          <w:sz w:val="32"/>
          <w:szCs w:val="32"/>
          <w:u w:val="none"/>
        </w:rPr>
        <w:t>实施</w:t>
      </w:r>
      <w:r>
        <w:rPr>
          <w:rFonts w:hint="eastAsia" w:ascii="仿宋_GB2312"/>
          <w:b w:val="0"/>
          <w:bCs w:val="0"/>
          <w:sz w:val="32"/>
          <w:szCs w:val="32"/>
          <w:u w:val="none"/>
        </w:rPr>
        <w:t>“百县千镇万村高质量发展工程”，持续优化“多中心、组团式、生态型”的城市空间结构，以辐射带动区域协同发展为战略导向，以重大交通基础设施网络为支撑，提升各级城镇能级量级，发挥吸纳人口和带动地区发展作用，强化镇联城带村的节点功能，统筹推进城乡融合发展，形成“一主一副、一特一优、若干组团”的全域城镇空间格局。</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“一主”：指东部中心城区，包括拱北、吉大、翠香、狮山、香湾、梅华、前山、湾仔、凤山等</w:t>
      </w:r>
      <w:r>
        <w:rPr>
          <w:rFonts w:hint="eastAsia"/>
          <w:b w:val="0"/>
          <w:bCs w:val="0"/>
          <w:sz w:val="32"/>
          <w:szCs w:val="32"/>
          <w:u w:val="none"/>
        </w:rPr>
        <w:t>9</w:t>
      </w:r>
      <w:r>
        <w:rPr>
          <w:rFonts w:hint="eastAsia" w:ascii="仿宋_GB2312"/>
          <w:b w:val="0"/>
          <w:bCs w:val="0"/>
          <w:sz w:val="32"/>
          <w:szCs w:val="32"/>
          <w:u w:val="none"/>
        </w:rPr>
        <w:t>个街道，以及南屏镇。</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“一副”：指西部中心城区，包括三灶镇（金海大桥以北部分）、红旗镇（机场北路以东部分）、白藤街道、井岸镇、白蕉镇（西部沿海高速以南部分）。</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“一特”：指横琴粤澳深度合作区（含横琴镇）。</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“一优”：指未来科学城（含唐家湾镇）。</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“若干组团”：指</w:t>
      </w:r>
      <w:r>
        <w:rPr>
          <w:b w:val="0"/>
          <w:bCs w:val="0"/>
          <w:sz w:val="32"/>
          <w:szCs w:val="32"/>
          <w:u w:val="none"/>
        </w:rPr>
        <w:t>7</w:t>
      </w:r>
      <w:r>
        <w:rPr>
          <w:rFonts w:hint="eastAsia" w:ascii="仿宋_GB2312"/>
          <w:b w:val="0"/>
          <w:bCs w:val="0"/>
          <w:sz w:val="32"/>
          <w:szCs w:val="32"/>
          <w:u w:val="none"/>
        </w:rPr>
        <w:t>个外围产业组团，包括珠海经济技术开发区（含南水镇、平沙镇）、富山</w:t>
      </w:r>
      <w:r>
        <w:rPr>
          <w:rFonts w:hint="eastAsia"/>
          <w:b w:val="0"/>
          <w:bCs w:val="0"/>
          <w:sz w:val="32"/>
          <w:szCs w:val="32"/>
          <w:u w:val="none"/>
        </w:rPr>
        <w:t>工业园</w:t>
      </w:r>
      <w:r>
        <w:rPr>
          <w:rFonts w:hint="eastAsia" w:ascii="仿宋_GB2312"/>
          <w:b w:val="0"/>
          <w:bCs w:val="0"/>
          <w:sz w:val="32"/>
          <w:szCs w:val="32"/>
          <w:u w:val="none"/>
        </w:rPr>
        <w:t>（含乾务镇）、斗门镇、航空产业园（三灶镇位于金海大桥以南部分，含镇政府所在地）、斗门智能制造产业园（白蕉镇位于西部沿海高速以北部分）、斗门生态农业园（含莲洲镇）、万山海洋开发试验区（含万山镇、桂山镇、担杆镇）。</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78" w:name="_Toc13921"/>
      <w:r>
        <w:rPr>
          <w:rFonts w:hint="eastAsia"/>
          <w:b w:val="0"/>
          <w:bCs w:val="0"/>
          <w:sz w:val="32"/>
          <w:szCs w:val="32"/>
          <w:u w:val="none"/>
        </w:rPr>
        <w:t>优化市域城镇规模等级体系</w:t>
      </w:r>
      <w:bookmarkEnd w:id="78"/>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b w:val="0"/>
          <w:bCs w:val="0"/>
          <w:sz w:val="32"/>
          <w:szCs w:val="32"/>
          <w:u w:val="none"/>
        </w:rPr>
      </w:pPr>
      <w:r>
        <w:rPr>
          <w:b w:val="0"/>
          <w:bCs w:val="0"/>
          <w:sz w:val="32"/>
          <w:szCs w:val="32"/>
          <w:u w:val="none"/>
        </w:rPr>
        <w:t>至</w:t>
      </w:r>
      <w:r>
        <w:rPr>
          <w:rFonts w:hint="eastAsia"/>
          <w:b w:val="0"/>
          <w:bCs w:val="0"/>
          <w:sz w:val="32"/>
          <w:szCs w:val="32"/>
          <w:u w:val="none"/>
        </w:rPr>
        <w:t>2</w:t>
      </w:r>
      <w:r>
        <w:rPr>
          <w:b w:val="0"/>
          <w:bCs w:val="0"/>
          <w:sz w:val="32"/>
          <w:szCs w:val="32"/>
          <w:u w:val="none"/>
        </w:rPr>
        <w:t>035年，规划</w:t>
      </w:r>
      <w:r>
        <w:rPr>
          <w:rFonts w:hint="eastAsia"/>
          <w:b w:val="0"/>
          <w:bCs w:val="0"/>
          <w:sz w:val="32"/>
          <w:szCs w:val="32"/>
          <w:u w:val="none"/>
        </w:rPr>
        <w:t>2座II型大城市、1座中等城市、</w:t>
      </w:r>
      <w:r>
        <w:rPr>
          <w:b w:val="0"/>
          <w:bCs w:val="0"/>
          <w:sz w:val="32"/>
          <w:szCs w:val="32"/>
          <w:u w:val="none"/>
        </w:rPr>
        <w:t>10座小城市（</w:t>
      </w:r>
      <w:r>
        <w:rPr>
          <w:rFonts w:hint="eastAsia"/>
          <w:b w:val="0"/>
          <w:bCs w:val="0"/>
          <w:sz w:val="32"/>
          <w:szCs w:val="32"/>
          <w:u w:val="none"/>
        </w:rPr>
        <w:t>4座I型小城市，</w:t>
      </w:r>
      <w:r>
        <w:rPr>
          <w:b w:val="0"/>
          <w:bCs w:val="0"/>
          <w:sz w:val="32"/>
          <w:szCs w:val="32"/>
          <w:u w:val="none"/>
        </w:rPr>
        <w:t>6</w:t>
      </w:r>
      <w:r>
        <w:rPr>
          <w:rFonts w:hint="eastAsia"/>
          <w:b w:val="0"/>
          <w:bCs w:val="0"/>
          <w:sz w:val="32"/>
          <w:szCs w:val="32"/>
          <w:u w:val="none"/>
        </w:rPr>
        <w:t>座II型小城市）。详见专栏</w:t>
      </w:r>
      <w:r>
        <w:rPr>
          <w:b w:val="0"/>
          <w:bCs w:val="0"/>
          <w:sz w:val="32"/>
          <w:szCs w:val="32"/>
          <w:u w:val="none"/>
        </w:rPr>
        <w:t>7</w:t>
      </w:r>
      <w:r>
        <w:rPr>
          <w:rFonts w:hint="eastAsia"/>
          <w:b w:val="0"/>
          <w:bCs w:val="0"/>
          <w:sz w:val="32"/>
          <w:szCs w:val="32"/>
          <w:u w:val="none"/>
        </w:rPr>
        <w:t>-1</w:t>
      </w:r>
      <w:r>
        <w:rPr>
          <w:b w:val="0"/>
          <w:bCs w:val="0"/>
          <w:sz w:val="32"/>
          <w:szCs w:val="32"/>
          <w:u w:val="none"/>
        </w:rPr>
        <w:t>。</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2437"/>
        <w:gridCol w:w="776"/>
        <w:gridCol w:w="4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4"/>
            <w:shd w:val="clear" w:color="auto" w:fill="D9D9D9"/>
            <w:noWrap w:val="0"/>
            <w:vAlign w:val="top"/>
          </w:tcPr>
          <w:p>
            <w:pPr>
              <w:spacing w:before="46" w:after="46"/>
              <w:ind w:firstLine="0" w:firstLineChars="0"/>
              <w:jc w:val="center"/>
              <w:rPr>
                <w:rFonts w:cs="Times New Roman"/>
                <w:b w:val="0"/>
                <w:bCs w:val="0"/>
                <w:sz w:val="32"/>
                <w:szCs w:val="32"/>
                <w:u w:val="none"/>
              </w:rPr>
            </w:pPr>
            <w:r>
              <w:rPr>
                <w:rFonts w:hint="eastAsia" w:eastAsia="黑体" w:cs="Times New Roman"/>
                <w:b w:val="0"/>
                <w:bCs w:val="0"/>
                <w:kern w:val="0"/>
                <w:sz w:val="32"/>
                <w:szCs w:val="32"/>
                <w:u w:val="none"/>
              </w:rPr>
              <w:t>专栏7</w:t>
            </w:r>
            <w:r>
              <w:rPr>
                <w:rFonts w:eastAsia="黑体" w:cs="Times New Roman"/>
                <w:b w:val="0"/>
                <w:bCs w:val="0"/>
                <w:kern w:val="0"/>
                <w:sz w:val="32"/>
                <w:szCs w:val="32"/>
                <w:u w:val="none"/>
              </w:rPr>
              <w:t>-1：市域城镇规模等级结构规划表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noWrap w:val="0"/>
            <w:vAlign w:val="center"/>
          </w:tcPr>
          <w:p>
            <w:pPr>
              <w:pStyle w:val="8"/>
              <w:rPr>
                <w:rFonts w:hint="eastAsia"/>
                <w:b w:val="0"/>
                <w:bCs w:val="0"/>
                <w:sz w:val="28"/>
                <w:szCs w:val="28"/>
                <w:u w:val="none"/>
              </w:rPr>
            </w:pPr>
            <w:r>
              <w:rPr>
                <w:rFonts w:hint="eastAsia"/>
                <w:b w:val="0"/>
                <w:bCs w:val="0"/>
                <w:sz w:val="28"/>
                <w:szCs w:val="28"/>
                <w:u w:val="none"/>
              </w:rPr>
              <w:t>等级</w:t>
            </w:r>
          </w:p>
        </w:tc>
        <w:tc>
          <w:tcPr>
            <w:tcW w:w="2437" w:type="dxa"/>
            <w:noWrap w:val="0"/>
            <w:vAlign w:val="center"/>
          </w:tcPr>
          <w:p>
            <w:pPr>
              <w:pStyle w:val="8"/>
              <w:rPr>
                <w:rFonts w:hint="eastAsia"/>
                <w:b w:val="0"/>
                <w:bCs w:val="0"/>
                <w:sz w:val="28"/>
                <w:szCs w:val="28"/>
                <w:u w:val="none"/>
              </w:rPr>
            </w:pPr>
            <w:r>
              <w:rPr>
                <w:rFonts w:hint="eastAsia"/>
                <w:b w:val="0"/>
                <w:bCs w:val="0"/>
                <w:sz w:val="28"/>
                <w:szCs w:val="28"/>
                <w:u w:val="none"/>
              </w:rPr>
              <w:t>规模（万人）</w:t>
            </w:r>
          </w:p>
        </w:tc>
        <w:tc>
          <w:tcPr>
            <w:tcW w:w="776" w:type="dxa"/>
            <w:noWrap w:val="0"/>
            <w:vAlign w:val="center"/>
          </w:tcPr>
          <w:p>
            <w:pPr>
              <w:pStyle w:val="8"/>
              <w:rPr>
                <w:rFonts w:hint="eastAsia"/>
                <w:b w:val="0"/>
                <w:bCs w:val="0"/>
                <w:sz w:val="28"/>
                <w:szCs w:val="28"/>
                <w:u w:val="none"/>
              </w:rPr>
            </w:pPr>
            <w:r>
              <w:rPr>
                <w:rFonts w:hint="eastAsia"/>
                <w:b w:val="0"/>
                <w:bCs w:val="0"/>
                <w:sz w:val="28"/>
                <w:szCs w:val="28"/>
                <w:u w:val="none"/>
              </w:rPr>
              <w:t>数量</w:t>
            </w:r>
          </w:p>
        </w:tc>
        <w:tc>
          <w:tcPr>
            <w:tcW w:w="4567" w:type="dxa"/>
            <w:noWrap w:val="0"/>
            <w:vAlign w:val="center"/>
          </w:tcPr>
          <w:p>
            <w:pPr>
              <w:pStyle w:val="8"/>
              <w:rPr>
                <w:rFonts w:hint="eastAsia"/>
                <w:b w:val="0"/>
                <w:bCs w:val="0"/>
                <w:sz w:val="28"/>
                <w:szCs w:val="28"/>
                <w:u w:val="none"/>
              </w:rPr>
            </w:pPr>
            <w:r>
              <w:rPr>
                <w:rFonts w:hint="eastAsia"/>
                <w:b w:val="0"/>
                <w:bCs w:val="0"/>
                <w:sz w:val="28"/>
                <w:szCs w:val="28"/>
                <w:u w:val="none"/>
              </w:rPr>
              <w:t>城镇名称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noWrap w:val="0"/>
            <w:vAlign w:val="center"/>
          </w:tcPr>
          <w:p>
            <w:pPr>
              <w:pStyle w:val="8"/>
              <w:rPr>
                <w:rFonts w:hint="eastAsia"/>
                <w:b w:val="0"/>
                <w:bCs w:val="0"/>
                <w:sz w:val="28"/>
                <w:szCs w:val="28"/>
                <w:u w:val="none"/>
              </w:rPr>
            </w:pPr>
            <w:r>
              <w:rPr>
                <w:rFonts w:hint="eastAsia"/>
                <w:b w:val="0"/>
                <w:bCs w:val="0"/>
                <w:sz w:val="28"/>
                <w:szCs w:val="28"/>
                <w:u w:val="none"/>
              </w:rPr>
              <w:t>II型大城市</w:t>
            </w:r>
          </w:p>
        </w:tc>
        <w:tc>
          <w:tcPr>
            <w:tcW w:w="2437" w:type="dxa"/>
            <w:noWrap w:val="0"/>
            <w:vAlign w:val="center"/>
          </w:tcPr>
          <w:p>
            <w:pPr>
              <w:pStyle w:val="8"/>
              <w:rPr>
                <w:rFonts w:hint="eastAsia"/>
                <w:b w:val="0"/>
                <w:bCs w:val="0"/>
                <w:sz w:val="28"/>
                <w:szCs w:val="28"/>
                <w:u w:val="none"/>
              </w:rPr>
            </w:pPr>
            <w:r>
              <w:rPr>
                <w:rFonts w:hint="eastAsia"/>
                <w:b w:val="0"/>
                <w:bCs w:val="0"/>
                <w:sz w:val="28"/>
                <w:szCs w:val="28"/>
                <w:u w:val="none"/>
              </w:rPr>
              <w:t>第一层次</w:t>
            </w:r>
          </w:p>
          <w:p>
            <w:pPr>
              <w:pStyle w:val="8"/>
              <w:rPr>
                <w:rFonts w:hint="eastAsia"/>
                <w:b w:val="0"/>
                <w:bCs w:val="0"/>
                <w:sz w:val="28"/>
                <w:szCs w:val="28"/>
                <w:u w:val="none"/>
              </w:rPr>
            </w:pPr>
            <w:r>
              <w:rPr>
                <w:rFonts w:hint="eastAsia"/>
                <w:b w:val="0"/>
                <w:bCs w:val="0"/>
                <w:sz w:val="28"/>
                <w:szCs w:val="28"/>
                <w:u w:val="none"/>
              </w:rPr>
              <w:t>100≤城镇人口＜300</w:t>
            </w:r>
          </w:p>
        </w:tc>
        <w:tc>
          <w:tcPr>
            <w:tcW w:w="776" w:type="dxa"/>
            <w:noWrap w:val="0"/>
            <w:vAlign w:val="center"/>
          </w:tcPr>
          <w:p>
            <w:pPr>
              <w:pStyle w:val="8"/>
              <w:rPr>
                <w:rFonts w:hint="eastAsia"/>
                <w:b w:val="0"/>
                <w:bCs w:val="0"/>
                <w:sz w:val="28"/>
                <w:szCs w:val="28"/>
                <w:u w:val="none"/>
              </w:rPr>
            </w:pPr>
            <w:r>
              <w:rPr>
                <w:rFonts w:hint="eastAsia"/>
                <w:b w:val="0"/>
                <w:bCs w:val="0"/>
                <w:sz w:val="28"/>
                <w:szCs w:val="28"/>
                <w:u w:val="none"/>
              </w:rPr>
              <w:t>2</w:t>
            </w:r>
          </w:p>
        </w:tc>
        <w:tc>
          <w:tcPr>
            <w:tcW w:w="4567" w:type="dxa"/>
            <w:noWrap w:val="0"/>
            <w:vAlign w:val="center"/>
          </w:tcPr>
          <w:p>
            <w:pPr>
              <w:pStyle w:val="8"/>
              <w:rPr>
                <w:rFonts w:hint="eastAsia"/>
                <w:b w:val="0"/>
                <w:bCs w:val="0"/>
                <w:sz w:val="28"/>
                <w:szCs w:val="28"/>
                <w:u w:val="none"/>
              </w:rPr>
            </w:pPr>
            <w:r>
              <w:rPr>
                <w:rFonts w:hint="eastAsia"/>
                <w:b w:val="0"/>
                <w:bCs w:val="0"/>
                <w:sz w:val="28"/>
                <w:szCs w:val="28"/>
                <w:u w:val="none"/>
              </w:rPr>
              <w:t>东部中心城区、西部中心城区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noWrap w:val="0"/>
            <w:vAlign w:val="center"/>
          </w:tcPr>
          <w:p>
            <w:pPr>
              <w:pStyle w:val="8"/>
              <w:rPr>
                <w:rFonts w:hint="eastAsia"/>
                <w:b w:val="0"/>
                <w:bCs w:val="0"/>
                <w:sz w:val="28"/>
                <w:szCs w:val="28"/>
                <w:u w:val="none"/>
              </w:rPr>
            </w:pPr>
            <w:r>
              <w:rPr>
                <w:rFonts w:hint="eastAsia"/>
                <w:b w:val="0"/>
                <w:bCs w:val="0"/>
                <w:sz w:val="28"/>
                <w:szCs w:val="28"/>
                <w:u w:val="none"/>
              </w:rPr>
              <w:t>中等城市</w:t>
            </w:r>
          </w:p>
        </w:tc>
        <w:tc>
          <w:tcPr>
            <w:tcW w:w="2437" w:type="dxa"/>
            <w:noWrap w:val="0"/>
            <w:vAlign w:val="center"/>
          </w:tcPr>
          <w:p>
            <w:pPr>
              <w:pStyle w:val="8"/>
              <w:rPr>
                <w:rFonts w:hint="eastAsia"/>
                <w:b w:val="0"/>
                <w:bCs w:val="0"/>
                <w:sz w:val="28"/>
                <w:szCs w:val="28"/>
                <w:u w:val="none"/>
              </w:rPr>
            </w:pPr>
            <w:r>
              <w:rPr>
                <w:rFonts w:hint="eastAsia"/>
                <w:b w:val="0"/>
                <w:bCs w:val="0"/>
                <w:sz w:val="28"/>
                <w:szCs w:val="28"/>
                <w:u w:val="none"/>
              </w:rPr>
              <w:t>第二层次</w:t>
            </w:r>
          </w:p>
          <w:p>
            <w:pPr>
              <w:pStyle w:val="8"/>
              <w:rPr>
                <w:rFonts w:hint="eastAsia"/>
                <w:b w:val="0"/>
                <w:bCs w:val="0"/>
                <w:sz w:val="28"/>
                <w:szCs w:val="28"/>
                <w:u w:val="none"/>
              </w:rPr>
            </w:pPr>
            <w:r>
              <w:rPr>
                <w:rFonts w:hint="eastAsia"/>
                <w:b w:val="0"/>
                <w:bCs w:val="0"/>
                <w:sz w:val="28"/>
                <w:szCs w:val="28"/>
                <w:u w:val="none"/>
              </w:rPr>
              <w:t>50≤城镇人口＜100</w:t>
            </w:r>
          </w:p>
        </w:tc>
        <w:tc>
          <w:tcPr>
            <w:tcW w:w="776" w:type="dxa"/>
            <w:noWrap w:val="0"/>
            <w:vAlign w:val="center"/>
          </w:tcPr>
          <w:p>
            <w:pPr>
              <w:pStyle w:val="8"/>
              <w:rPr>
                <w:rFonts w:hint="eastAsia"/>
                <w:b w:val="0"/>
                <w:bCs w:val="0"/>
                <w:sz w:val="28"/>
                <w:szCs w:val="28"/>
                <w:u w:val="none"/>
              </w:rPr>
            </w:pPr>
            <w:r>
              <w:rPr>
                <w:rFonts w:hint="eastAsia"/>
                <w:b w:val="0"/>
                <w:bCs w:val="0"/>
                <w:sz w:val="28"/>
                <w:szCs w:val="28"/>
                <w:u w:val="none"/>
              </w:rPr>
              <w:t>1</w:t>
            </w:r>
          </w:p>
        </w:tc>
        <w:tc>
          <w:tcPr>
            <w:tcW w:w="4567" w:type="dxa"/>
            <w:noWrap w:val="0"/>
            <w:vAlign w:val="center"/>
          </w:tcPr>
          <w:p>
            <w:pPr>
              <w:pStyle w:val="8"/>
              <w:rPr>
                <w:rFonts w:hint="eastAsia"/>
                <w:b w:val="0"/>
                <w:bCs w:val="0"/>
                <w:sz w:val="28"/>
                <w:szCs w:val="28"/>
                <w:u w:val="none"/>
              </w:rPr>
            </w:pPr>
            <w:r>
              <w:rPr>
                <w:rFonts w:hint="eastAsia"/>
                <w:b w:val="0"/>
                <w:bCs w:val="0"/>
                <w:sz w:val="28"/>
                <w:szCs w:val="28"/>
                <w:u w:val="none"/>
              </w:rPr>
              <w:t>未来科学城（含唐家湾镇）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noWrap w:val="0"/>
            <w:vAlign w:val="center"/>
          </w:tcPr>
          <w:p>
            <w:pPr>
              <w:pStyle w:val="8"/>
              <w:rPr>
                <w:rFonts w:hint="eastAsia"/>
                <w:b w:val="0"/>
                <w:bCs w:val="0"/>
                <w:sz w:val="28"/>
                <w:szCs w:val="28"/>
                <w:u w:val="none"/>
              </w:rPr>
            </w:pPr>
            <w:r>
              <w:rPr>
                <w:rFonts w:hint="eastAsia"/>
                <w:b w:val="0"/>
                <w:bCs w:val="0"/>
                <w:sz w:val="28"/>
                <w:szCs w:val="28"/>
                <w:u w:val="none"/>
              </w:rPr>
              <w:t>I型小城市</w:t>
            </w:r>
          </w:p>
        </w:tc>
        <w:tc>
          <w:tcPr>
            <w:tcW w:w="2437" w:type="dxa"/>
            <w:noWrap w:val="0"/>
            <w:vAlign w:val="center"/>
          </w:tcPr>
          <w:p>
            <w:pPr>
              <w:pStyle w:val="8"/>
              <w:rPr>
                <w:rFonts w:hint="eastAsia"/>
                <w:b w:val="0"/>
                <w:bCs w:val="0"/>
                <w:sz w:val="28"/>
                <w:szCs w:val="28"/>
                <w:u w:val="none"/>
              </w:rPr>
            </w:pPr>
            <w:r>
              <w:rPr>
                <w:rFonts w:hint="eastAsia"/>
                <w:b w:val="0"/>
                <w:bCs w:val="0"/>
                <w:sz w:val="28"/>
                <w:szCs w:val="28"/>
                <w:u w:val="none"/>
              </w:rPr>
              <w:t>第三层次</w:t>
            </w:r>
          </w:p>
          <w:p>
            <w:pPr>
              <w:pStyle w:val="8"/>
              <w:rPr>
                <w:rFonts w:hint="eastAsia"/>
                <w:b w:val="0"/>
                <w:bCs w:val="0"/>
                <w:sz w:val="28"/>
                <w:szCs w:val="28"/>
                <w:u w:val="none"/>
              </w:rPr>
            </w:pPr>
            <w:r>
              <w:rPr>
                <w:rFonts w:hint="eastAsia"/>
                <w:b w:val="0"/>
                <w:bCs w:val="0"/>
                <w:sz w:val="28"/>
                <w:szCs w:val="28"/>
                <w:u w:val="none"/>
              </w:rPr>
              <w:t>20≤城镇人口＜50</w:t>
            </w:r>
          </w:p>
        </w:tc>
        <w:tc>
          <w:tcPr>
            <w:tcW w:w="776" w:type="dxa"/>
            <w:noWrap w:val="0"/>
            <w:vAlign w:val="center"/>
          </w:tcPr>
          <w:p>
            <w:pPr>
              <w:pStyle w:val="8"/>
              <w:rPr>
                <w:rFonts w:hint="eastAsia"/>
                <w:b w:val="0"/>
                <w:bCs w:val="0"/>
                <w:sz w:val="28"/>
                <w:szCs w:val="28"/>
                <w:u w:val="none"/>
              </w:rPr>
            </w:pPr>
            <w:r>
              <w:rPr>
                <w:rFonts w:hint="eastAsia"/>
                <w:b w:val="0"/>
                <w:bCs w:val="0"/>
                <w:sz w:val="28"/>
                <w:szCs w:val="28"/>
                <w:u w:val="none"/>
              </w:rPr>
              <w:t>4</w:t>
            </w:r>
          </w:p>
        </w:tc>
        <w:tc>
          <w:tcPr>
            <w:tcW w:w="4567" w:type="dxa"/>
            <w:noWrap w:val="0"/>
            <w:vAlign w:val="center"/>
          </w:tcPr>
          <w:p>
            <w:pPr>
              <w:pStyle w:val="8"/>
              <w:rPr>
                <w:rFonts w:hint="eastAsia"/>
                <w:b w:val="0"/>
                <w:bCs w:val="0"/>
                <w:sz w:val="28"/>
                <w:szCs w:val="28"/>
                <w:u w:val="none"/>
              </w:rPr>
            </w:pPr>
            <w:r>
              <w:rPr>
                <w:rFonts w:hint="eastAsia"/>
                <w:b w:val="0"/>
                <w:bCs w:val="0"/>
                <w:sz w:val="28"/>
                <w:szCs w:val="28"/>
                <w:u w:val="none"/>
              </w:rPr>
              <w:t>横琴粤澳深度合作区（含横琴镇）、三灶镇、平沙镇、乾务镇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noWrap w:val="0"/>
            <w:vAlign w:val="center"/>
          </w:tcPr>
          <w:p>
            <w:pPr>
              <w:pStyle w:val="8"/>
              <w:rPr>
                <w:rFonts w:hint="eastAsia"/>
                <w:b w:val="0"/>
                <w:bCs w:val="0"/>
                <w:sz w:val="28"/>
                <w:szCs w:val="28"/>
                <w:u w:val="none"/>
              </w:rPr>
            </w:pPr>
            <w:r>
              <w:rPr>
                <w:rFonts w:hint="eastAsia"/>
                <w:b w:val="0"/>
                <w:bCs w:val="0"/>
                <w:sz w:val="28"/>
                <w:szCs w:val="28"/>
                <w:u w:val="none"/>
              </w:rPr>
              <w:t>II型小城市</w:t>
            </w:r>
          </w:p>
        </w:tc>
        <w:tc>
          <w:tcPr>
            <w:tcW w:w="2437" w:type="dxa"/>
            <w:noWrap w:val="0"/>
            <w:vAlign w:val="center"/>
          </w:tcPr>
          <w:p>
            <w:pPr>
              <w:pStyle w:val="8"/>
              <w:rPr>
                <w:rFonts w:hint="eastAsia"/>
                <w:b w:val="0"/>
                <w:bCs w:val="0"/>
                <w:sz w:val="28"/>
                <w:szCs w:val="28"/>
                <w:u w:val="none"/>
              </w:rPr>
            </w:pPr>
            <w:r>
              <w:rPr>
                <w:rFonts w:hint="eastAsia"/>
                <w:b w:val="0"/>
                <w:bCs w:val="0"/>
                <w:sz w:val="28"/>
                <w:szCs w:val="28"/>
                <w:u w:val="none"/>
              </w:rPr>
              <w:t>第四层次</w:t>
            </w:r>
          </w:p>
          <w:p>
            <w:pPr>
              <w:pStyle w:val="8"/>
              <w:rPr>
                <w:rFonts w:hint="eastAsia"/>
                <w:b w:val="0"/>
                <w:bCs w:val="0"/>
                <w:sz w:val="28"/>
                <w:szCs w:val="28"/>
                <w:u w:val="none"/>
              </w:rPr>
            </w:pPr>
            <w:r>
              <w:rPr>
                <w:rFonts w:hint="eastAsia"/>
                <w:b w:val="0"/>
                <w:bCs w:val="0"/>
                <w:sz w:val="28"/>
                <w:szCs w:val="28"/>
                <w:u w:val="none"/>
              </w:rPr>
              <w:t>城镇人口＜20</w:t>
            </w:r>
          </w:p>
        </w:tc>
        <w:tc>
          <w:tcPr>
            <w:tcW w:w="776" w:type="dxa"/>
            <w:noWrap w:val="0"/>
            <w:vAlign w:val="center"/>
          </w:tcPr>
          <w:p>
            <w:pPr>
              <w:pStyle w:val="8"/>
              <w:rPr>
                <w:rFonts w:hint="eastAsia"/>
                <w:b w:val="0"/>
                <w:bCs w:val="0"/>
                <w:sz w:val="28"/>
                <w:szCs w:val="28"/>
                <w:u w:val="none"/>
              </w:rPr>
            </w:pPr>
            <w:r>
              <w:rPr>
                <w:rFonts w:hint="eastAsia"/>
                <w:b w:val="0"/>
                <w:bCs w:val="0"/>
                <w:sz w:val="28"/>
                <w:szCs w:val="28"/>
                <w:u w:val="none"/>
              </w:rPr>
              <w:t>6</w:t>
            </w:r>
          </w:p>
        </w:tc>
        <w:tc>
          <w:tcPr>
            <w:tcW w:w="4567" w:type="dxa"/>
            <w:noWrap w:val="0"/>
            <w:vAlign w:val="center"/>
          </w:tcPr>
          <w:p>
            <w:pPr>
              <w:pStyle w:val="8"/>
              <w:rPr>
                <w:rFonts w:hint="eastAsia"/>
                <w:b w:val="0"/>
                <w:bCs w:val="0"/>
                <w:sz w:val="28"/>
                <w:szCs w:val="28"/>
                <w:u w:val="none"/>
              </w:rPr>
            </w:pPr>
            <w:r>
              <w:rPr>
                <w:rFonts w:hint="eastAsia"/>
                <w:b w:val="0"/>
                <w:bCs w:val="0"/>
                <w:sz w:val="28"/>
                <w:szCs w:val="28"/>
                <w:u w:val="none"/>
              </w:rPr>
              <w:t>南水镇、斗门镇、莲洲镇、万山镇、桂山镇、担杆镇</w:t>
            </w:r>
          </w:p>
        </w:tc>
      </w:tr>
    </w:tbl>
    <w:p>
      <w:pPr>
        <w:pStyle w:val="85"/>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79" w:name="_Toc26438"/>
      <w:r>
        <w:rPr>
          <w:b w:val="0"/>
          <w:bCs w:val="0"/>
          <w:sz w:val="32"/>
          <w:szCs w:val="32"/>
          <w:u w:val="none"/>
        </w:rPr>
        <w:t>确定市域城镇职能结构体系</w:t>
      </w:r>
      <w:bookmarkEnd w:id="79"/>
    </w:p>
    <w:p>
      <w:pPr>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构建“市域主中心-市域副中心-重点镇-一般镇”的四级城镇职能结构体系。其中，东部中心城区建设行政、文化和科创中心，是横琴粤澳深度合作区的第一门户、港珠澳大桥经济桥头堡、港珠澳融合发展新示范、滨海宜居城区。西部中心城区建设经济产业、交通物流和区域消费中心，是服务国内国际双循环的枢纽门户和滨江宜居城区。横琴粤澳深度合作区建设促进粤澳深度合作的特别平台，是促进澳门经济适度多元发展的新平台、便利澳门居民生活就业的新空间、丰富“一国两制”实践的新示范、推动粤港澳大湾区建设的新高地。未来科学城建设新引擎、新高地、宜居宜业新城，是国际一流未来科学城，湾区一流滨海生态科创城区、深珠合作示范区、珠江西岸应用型科技创新高地和科技场景应用示范基地、珠海高质量发展样板和经济增长极、国家历史文化名镇。</w:t>
      </w:r>
    </w:p>
    <w:p>
      <w:pPr>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重点镇包括三灶镇、平沙镇、南水镇、斗门镇、乾务镇。壮大高水平的镇域经济，完善高质量的基础设施，配套高标准的公共服务，塑造高品质的圩镇风貌，创新高效率的治理模式，加强对航空产业园、珠海经济技术开发区、富山工业园等大型产业园的支撑能力，实现产城融合发展。</w:t>
      </w:r>
    </w:p>
    <w:p>
      <w:pPr>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一般镇包括莲洲镇、万山镇、桂山镇、担杆镇。建设</w:t>
      </w:r>
      <w:r>
        <w:rPr>
          <w:rFonts w:ascii="仿宋_GB2312"/>
          <w:b w:val="0"/>
          <w:bCs w:val="0"/>
          <w:sz w:val="32"/>
          <w:szCs w:val="32"/>
          <w:u w:val="none"/>
        </w:rPr>
        <w:t>产业特色鲜明、产城人文融合、宜业宜居宜游的特色小城镇</w:t>
      </w:r>
      <w:r>
        <w:rPr>
          <w:rFonts w:hint="eastAsia" w:ascii="仿宋_GB2312"/>
          <w:b w:val="0"/>
          <w:bCs w:val="0"/>
          <w:sz w:val="32"/>
          <w:szCs w:val="32"/>
          <w:u w:val="none"/>
        </w:rPr>
        <w:t>，为镇村经济发展提供有力支撑，有效吸纳镇村就业人口。</w:t>
      </w:r>
    </w:p>
    <w:p>
      <w:pPr>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各级城镇依据自身职能划分为综合服务型、特色工业型、生态休闲型三类，详见专栏</w:t>
      </w:r>
      <w:r>
        <w:rPr>
          <w:rFonts w:hint="eastAsia"/>
          <w:b w:val="0"/>
          <w:bCs w:val="0"/>
          <w:sz w:val="32"/>
          <w:szCs w:val="32"/>
          <w:u w:val="none"/>
        </w:rPr>
        <w:t>7</w:t>
      </w:r>
      <w:r>
        <w:rPr>
          <w:rFonts w:hint="eastAsia" w:ascii="仿宋_GB2312"/>
          <w:b w:val="0"/>
          <w:bCs w:val="0"/>
          <w:sz w:val="32"/>
          <w:szCs w:val="32"/>
          <w:u w:val="none"/>
        </w:rPr>
        <w:t>-</w:t>
      </w:r>
      <w:r>
        <w:rPr>
          <w:rFonts w:hint="eastAsia"/>
          <w:b w:val="0"/>
          <w:bCs w:val="0"/>
          <w:sz w:val="32"/>
          <w:szCs w:val="32"/>
          <w:u w:val="none"/>
        </w:rPr>
        <w:t>2</w:t>
      </w:r>
      <w:r>
        <w:rPr>
          <w:rFonts w:ascii="仿宋_GB2312"/>
          <w:b w:val="0"/>
          <w:bCs w:val="0"/>
          <w:sz w:val="32"/>
          <w:szCs w:val="32"/>
          <w:u w:val="none"/>
        </w:rPr>
        <w:t>。</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1"/>
        <w:gridCol w:w="4298"/>
        <w:gridCol w:w="1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060" w:type="dxa"/>
            <w:gridSpan w:val="3"/>
            <w:shd w:val="clear" w:color="auto" w:fill="D9D9D9"/>
            <w:noWrap w:val="0"/>
            <w:vAlign w:val="top"/>
          </w:tcPr>
          <w:p>
            <w:pPr>
              <w:spacing w:before="46" w:after="46"/>
              <w:ind w:firstLine="0" w:firstLineChars="0"/>
              <w:jc w:val="center"/>
              <w:rPr>
                <w:rFonts w:hint="eastAsia" w:eastAsia="黑体" w:cs="Times New Roman"/>
                <w:b w:val="0"/>
                <w:bCs w:val="0"/>
                <w:kern w:val="0"/>
                <w:sz w:val="32"/>
                <w:szCs w:val="32"/>
                <w:u w:val="none"/>
              </w:rPr>
            </w:pPr>
            <w:r>
              <w:rPr>
                <w:rFonts w:eastAsia="黑体" w:cs="Times New Roman"/>
                <w:b w:val="0"/>
                <w:bCs w:val="0"/>
                <w:kern w:val="0"/>
                <w:sz w:val="32"/>
                <w:szCs w:val="32"/>
                <w:u w:val="none"/>
              </w:rPr>
              <w:t>专栏</w:t>
            </w:r>
            <w:r>
              <w:rPr>
                <w:rFonts w:hint="eastAsia" w:eastAsia="黑体" w:cs="Times New Roman"/>
                <w:b w:val="0"/>
                <w:bCs w:val="0"/>
                <w:kern w:val="0"/>
                <w:sz w:val="32"/>
                <w:szCs w:val="32"/>
                <w:u w:val="none"/>
              </w:rPr>
              <w:t>7</w:t>
            </w:r>
            <w:r>
              <w:rPr>
                <w:rFonts w:eastAsia="黑体" w:cs="Times New Roman"/>
                <w:b w:val="0"/>
                <w:bCs w:val="0"/>
                <w:kern w:val="0"/>
                <w:sz w:val="32"/>
                <w:szCs w:val="32"/>
                <w:u w:val="none"/>
              </w:rPr>
              <w:t>-2：市域城镇结构体系与职能一览表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239" w:type="dxa"/>
            <w:gridSpan w:val="2"/>
            <w:noWrap w:val="0"/>
            <w:vAlign w:val="top"/>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城镇名称</w:t>
            </w:r>
          </w:p>
        </w:tc>
        <w:tc>
          <w:tcPr>
            <w:tcW w:w="1821" w:type="dxa"/>
            <w:noWrap w:val="0"/>
            <w:vAlign w:val="top"/>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城镇类型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81" w:hRule="atLeast"/>
        </w:trPr>
        <w:tc>
          <w:tcPr>
            <w:tcW w:w="2941" w:type="dxa"/>
            <w:vMerge w:val="restart"/>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东部中心城区</w:t>
            </w:r>
          </w:p>
        </w:tc>
        <w:tc>
          <w:tcPr>
            <w:tcW w:w="4298"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拱北</w:t>
            </w:r>
          </w:p>
        </w:tc>
        <w:tc>
          <w:tcPr>
            <w:tcW w:w="1821" w:type="dxa"/>
            <w:vMerge w:val="restart"/>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综合服务型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3" w:hRule="atLeast"/>
        </w:trPr>
        <w:tc>
          <w:tcPr>
            <w:tcW w:w="294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c>
          <w:tcPr>
            <w:tcW w:w="4298"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吉大</w:t>
            </w:r>
          </w:p>
        </w:tc>
        <w:tc>
          <w:tcPr>
            <w:tcW w:w="182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3" w:hRule="atLeast"/>
        </w:trPr>
        <w:tc>
          <w:tcPr>
            <w:tcW w:w="294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c>
          <w:tcPr>
            <w:tcW w:w="4298"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翠香</w:t>
            </w:r>
          </w:p>
        </w:tc>
        <w:tc>
          <w:tcPr>
            <w:tcW w:w="182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3" w:hRule="atLeast"/>
        </w:trPr>
        <w:tc>
          <w:tcPr>
            <w:tcW w:w="294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c>
          <w:tcPr>
            <w:tcW w:w="4298"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狮山</w:t>
            </w:r>
          </w:p>
        </w:tc>
        <w:tc>
          <w:tcPr>
            <w:tcW w:w="182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3" w:hRule="atLeast"/>
        </w:trPr>
        <w:tc>
          <w:tcPr>
            <w:tcW w:w="294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c>
          <w:tcPr>
            <w:tcW w:w="4298"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香湾</w:t>
            </w:r>
          </w:p>
        </w:tc>
        <w:tc>
          <w:tcPr>
            <w:tcW w:w="182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3" w:hRule="atLeast"/>
        </w:trPr>
        <w:tc>
          <w:tcPr>
            <w:tcW w:w="294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c>
          <w:tcPr>
            <w:tcW w:w="4298"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梅华</w:t>
            </w:r>
          </w:p>
        </w:tc>
        <w:tc>
          <w:tcPr>
            <w:tcW w:w="182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3" w:hRule="atLeast"/>
        </w:trPr>
        <w:tc>
          <w:tcPr>
            <w:tcW w:w="294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c>
          <w:tcPr>
            <w:tcW w:w="4298"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前山</w:t>
            </w:r>
          </w:p>
        </w:tc>
        <w:tc>
          <w:tcPr>
            <w:tcW w:w="182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3" w:hRule="atLeast"/>
        </w:trPr>
        <w:tc>
          <w:tcPr>
            <w:tcW w:w="294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c>
          <w:tcPr>
            <w:tcW w:w="4298"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凤山</w:t>
            </w:r>
          </w:p>
        </w:tc>
        <w:tc>
          <w:tcPr>
            <w:tcW w:w="182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3" w:hRule="atLeast"/>
        </w:trPr>
        <w:tc>
          <w:tcPr>
            <w:tcW w:w="294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c>
          <w:tcPr>
            <w:tcW w:w="4298"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湾仔</w:t>
            </w:r>
          </w:p>
        </w:tc>
        <w:tc>
          <w:tcPr>
            <w:tcW w:w="182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3" w:hRule="atLeast"/>
        </w:trPr>
        <w:tc>
          <w:tcPr>
            <w:tcW w:w="294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c>
          <w:tcPr>
            <w:tcW w:w="4298"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南屏镇</w:t>
            </w:r>
          </w:p>
        </w:tc>
        <w:tc>
          <w:tcPr>
            <w:tcW w:w="182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3" w:hRule="atLeast"/>
        </w:trPr>
        <w:tc>
          <w:tcPr>
            <w:tcW w:w="2941" w:type="dxa"/>
            <w:vMerge w:val="restart"/>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西部中心城区</w:t>
            </w:r>
          </w:p>
        </w:tc>
        <w:tc>
          <w:tcPr>
            <w:tcW w:w="4298"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红旗镇</w:t>
            </w:r>
          </w:p>
        </w:tc>
        <w:tc>
          <w:tcPr>
            <w:tcW w:w="182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3" w:hRule="atLeast"/>
        </w:trPr>
        <w:tc>
          <w:tcPr>
            <w:tcW w:w="294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c>
          <w:tcPr>
            <w:tcW w:w="4298"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白藤</w:t>
            </w:r>
          </w:p>
        </w:tc>
        <w:tc>
          <w:tcPr>
            <w:tcW w:w="182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3" w:hRule="atLeast"/>
        </w:trPr>
        <w:tc>
          <w:tcPr>
            <w:tcW w:w="294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c>
          <w:tcPr>
            <w:tcW w:w="4298"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井岸镇</w:t>
            </w:r>
          </w:p>
        </w:tc>
        <w:tc>
          <w:tcPr>
            <w:tcW w:w="182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3" w:hRule="atLeast"/>
        </w:trPr>
        <w:tc>
          <w:tcPr>
            <w:tcW w:w="294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c>
          <w:tcPr>
            <w:tcW w:w="4298"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白蕉镇</w:t>
            </w:r>
          </w:p>
        </w:tc>
        <w:tc>
          <w:tcPr>
            <w:tcW w:w="182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3" w:hRule="atLeast"/>
        </w:trPr>
        <w:tc>
          <w:tcPr>
            <w:tcW w:w="294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c>
          <w:tcPr>
            <w:tcW w:w="4298"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三灶镇（金海大桥以北部分）</w:t>
            </w:r>
          </w:p>
        </w:tc>
        <w:tc>
          <w:tcPr>
            <w:tcW w:w="182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3" w:hRule="atLeast"/>
        </w:trPr>
        <w:tc>
          <w:tcPr>
            <w:tcW w:w="2941"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横琴粤澳深度合作区</w:t>
            </w:r>
          </w:p>
        </w:tc>
        <w:tc>
          <w:tcPr>
            <w:tcW w:w="4298"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横琴镇</w:t>
            </w:r>
          </w:p>
        </w:tc>
        <w:tc>
          <w:tcPr>
            <w:tcW w:w="182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3" w:hRule="atLeast"/>
        </w:trPr>
        <w:tc>
          <w:tcPr>
            <w:tcW w:w="2941"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未来科学城</w:t>
            </w:r>
          </w:p>
        </w:tc>
        <w:tc>
          <w:tcPr>
            <w:tcW w:w="4298"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唐家湾镇</w:t>
            </w:r>
          </w:p>
        </w:tc>
        <w:tc>
          <w:tcPr>
            <w:tcW w:w="1821" w:type="dxa"/>
            <w:vMerge w:val="continue"/>
            <w:noWrap w:val="0"/>
            <w:vAlign w:val="center"/>
          </w:tcPr>
          <w:p>
            <w:pPr>
              <w:autoSpaceDE w:val="0"/>
              <w:autoSpaceDN w:val="0"/>
              <w:ind w:firstLine="0" w:firstLineChars="0"/>
              <w:jc w:val="center"/>
              <w:rPr>
                <w:rFonts w:hint="eastAsia" w:cs="Times New Roman"/>
                <w:b w:val="0"/>
                <w:bCs w:val="0"/>
                <w:color w:val="000000"/>
                <w:kern w:val="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239" w:type="dxa"/>
            <w:gridSpan w:val="2"/>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三灶镇</w:t>
            </w:r>
          </w:p>
        </w:tc>
        <w:tc>
          <w:tcPr>
            <w:tcW w:w="1821"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综合服务型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239" w:type="dxa"/>
            <w:gridSpan w:val="2"/>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平沙镇</w:t>
            </w:r>
          </w:p>
        </w:tc>
        <w:tc>
          <w:tcPr>
            <w:tcW w:w="1821"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综合服务型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239" w:type="dxa"/>
            <w:gridSpan w:val="2"/>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南水镇</w:t>
            </w:r>
          </w:p>
        </w:tc>
        <w:tc>
          <w:tcPr>
            <w:tcW w:w="1821"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特色工业型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239" w:type="dxa"/>
            <w:gridSpan w:val="2"/>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斗门镇</w:t>
            </w:r>
          </w:p>
        </w:tc>
        <w:tc>
          <w:tcPr>
            <w:tcW w:w="1821"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综合服务型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239" w:type="dxa"/>
            <w:gridSpan w:val="2"/>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乾务镇</w:t>
            </w:r>
          </w:p>
        </w:tc>
        <w:tc>
          <w:tcPr>
            <w:tcW w:w="1821"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特色工业型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239" w:type="dxa"/>
            <w:gridSpan w:val="2"/>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莲洲镇</w:t>
            </w:r>
          </w:p>
        </w:tc>
        <w:tc>
          <w:tcPr>
            <w:tcW w:w="1821"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生态休闲型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239" w:type="dxa"/>
            <w:gridSpan w:val="2"/>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万山镇</w:t>
            </w:r>
          </w:p>
        </w:tc>
        <w:tc>
          <w:tcPr>
            <w:tcW w:w="1821"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生态休闲型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239" w:type="dxa"/>
            <w:gridSpan w:val="2"/>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桂山镇</w:t>
            </w:r>
          </w:p>
        </w:tc>
        <w:tc>
          <w:tcPr>
            <w:tcW w:w="1821"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综合服务型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239" w:type="dxa"/>
            <w:gridSpan w:val="2"/>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担杆镇</w:t>
            </w:r>
          </w:p>
        </w:tc>
        <w:tc>
          <w:tcPr>
            <w:tcW w:w="1821" w:type="dxa"/>
            <w:noWrap w:val="0"/>
            <w:vAlign w:val="center"/>
          </w:tcPr>
          <w:p>
            <w:pPr>
              <w:autoSpaceDE w:val="0"/>
              <w:autoSpaceDN w:val="0"/>
              <w:ind w:firstLine="0" w:firstLineChars="0"/>
              <w:jc w:val="center"/>
              <w:rPr>
                <w:rFonts w:hint="eastAsia" w:cs="Times New Roman"/>
                <w:b w:val="0"/>
                <w:bCs w:val="0"/>
                <w:color w:val="000000"/>
                <w:kern w:val="0"/>
                <w:sz w:val="28"/>
                <w:szCs w:val="28"/>
                <w:u w:val="none"/>
              </w:rPr>
            </w:pPr>
            <w:r>
              <w:rPr>
                <w:rFonts w:hint="eastAsia" w:cs="Times New Roman"/>
                <w:b w:val="0"/>
                <w:bCs w:val="0"/>
                <w:color w:val="000000"/>
                <w:kern w:val="0"/>
                <w:sz w:val="28"/>
                <w:szCs w:val="28"/>
                <w:u w:val="none"/>
              </w:rPr>
              <w:t>生态休闲型</w:t>
            </w:r>
          </w:p>
        </w:tc>
      </w:tr>
    </w:tbl>
    <w:p>
      <w:pPr>
        <w:pStyle w:val="115"/>
        <w:keepNext w:val="0"/>
        <w:keepLines w:val="0"/>
        <w:pageBreakBefore w:val="0"/>
        <w:widowControl w:val="0"/>
        <w:kinsoku/>
        <w:wordWrap/>
        <w:overflowPunct/>
        <w:topLinePunct w:val="0"/>
        <w:autoSpaceDE/>
        <w:autoSpaceDN/>
        <w:bidi w:val="0"/>
        <w:adjustRightInd/>
        <w:spacing w:line="579" w:lineRule="exact"/>
        <w:ind w:firstLine="420"/>
        <w:textAlignment w:val="auto"/>
        <w:rPr>
          <w:b w:val="0"/>
          <w:bCs w:val="0"/>
          <w:sz w:val="32"/>
          <w:szCs w:val="32"/>
          <w:u w:val="none"/>
        </w:rPr>
      </w:pPr>
      <w:r>
        <w:rPr>
          <w:b w:val="0"/>
          <w:bCs w:val="0"/>
          <w:sz w:val="32"/>
          <w:szCs w:val="32"/>
          <w:u w:val="none"/>
        </w:rPr>
        <w:t>注：三灶镇政府位于西部中心城区范围之外，因此列入重点镇。</w:t>
      </w:r>
    </w:p>
    <w:p>
      <w:pPr>
        <w:pStyle w:val="85"/>
        <w:keepNext w:val="0"/>
        <w:keepLines w:val="0"/>
        <w:pageBreakBefore w:val="0"/>
        <w:widowControl w:val="0"/>
        <w:kinsoku/>
        <w:wordWrap/>
        <w:overflowPunct/>
        <w:topLinePunct w:val="0"/>
        <w:autoSpaceDE/>
        <w:autoSpaceDN/>
        <w:bidi w:val="0"/>
        <w:adjustRightInd/>
        <w:spacing w:before="0" w:beforeLines="0" w:after="0" w:afterLines="0" w:line="579" w:lineRule="exact"/>
        <w:ind w:left="198" w:leftChars="0" w:firstLineChars="0"/>
        <w:textAlignment w:val="auto"/>
        <w:rPr>
          <w:rFonts w:hint="eastAsia"/>
          <w:b w:val="0"/>
          <w:bCs w:val="0"/>
          <w:sz w:val="32"/>
          <w:szCs w:val="32"/>
          <w:u w:val="none"/>
        </w:rPr>
      </w:pPr>
      <w:bookmarkStart w:id="80" w:name="_Toc27052"/>
      <w:r>
        <w:rPr>
          <w:rFonts w:hint="eastAsia"/>
          <w:b w:val="0"/>
          <w:bCs w:val="0"/>
          <w:sz w:val="32"/>
          <w:szCs w:val="32"/>
          <w:u w:val="none"/>
        </w:rPr>
        <w:t>规划四级中心体系</w:t>
      </w:r>
      <w:bookmarkEnd w:id="80"/>
    </w:p>
    <w:p>
      <w:pPr>
        <w:keepNext w:val="0"/>
        <w:keepLines w:val="0"/>
        <w:pageBreakBefore w:val="0"/>
        <w:widowControl w:val="0"/>
        <w:kinsoku/>
        <w:wordWrap/>
        <w:overflowPunct/>
        <w:topLinePunct w:val="0"/>
        <w:autoSpaceDE/>
        <w:autoSpaceDN/>
        <w:bidi w:val="0"/>
        <w:adjustRightInd/>
        <w:spacing w:line="579" w:lineRule="exact"/>
        <w:ind w:firstLine="600"/>
        <w:textAlignment w:val="auto"/>
        <w:rPr>
          <w:rFonts w:hint="eastAsia" w:ascii="仿宋_GB2312"/>
          <w:b w:val="0"/>
          <w:bCs w:val="0"/>
          <w:sz w:val="32"/>
          <w:szCs w:val="32"/>
          <w:u w:val="none"/>
        </w:rPr>
      </w:pPr>
      <w:r>
        <w:rPr>
          <w:rFonts w:ascii="仿宋_GB2312"/>
          <w:b w:val="0"/>
          <w:bCs w:val="0"/>
          <w:sz w:val="32"/>
          <w:szCs w:val="32"/>
          <w:u w:val="none"/>
        </w:rPr>
        <w:t>到</w:t>
      </w:r>
      <w:r>
        <w:rPr>
          <w:rFonts w:hint="eastAsia"/>
          <w:b w:val="0"/>
          <w:bCs w:val="0"/>
          <w:sz w:val="32"/>
          <w:szCs w:val="32"/>
          <w:u w:val="none"/>
        </w:rPr>
        <w:t>2</w:t>
      </w:r>
      <w:r>
        <w:rPr>
          <w:b w:val="0"/>
          <w:bCs w:val="0"/>
          <w:sz w:val="32"/>
          <w:szCs w:val="32"/>
          <w:u w:val="none"/>
        </w:rPr>
        <w:t>035</w:t>
      </w:r>
      <w:r>
        <w:rPr>
          <w:rFonts w:ascii="仿宋_GB2312"/>
          <w:b w:val="0"/>
          <w:bCs w:val="0"/>
          <w:sz w:val="32"/>
          <w:szCs w:val="32"/>
          <w:u w:val="none"/>
        </w:rPr>
        <w:t>年，规划与四级架构相匹配的四级中心体系，促进空间发展的相对均衡与用地布局的合理安排，包括市级中心、片区中心、基本城市组团中心和邻里中心。</w:t>
      </w:r>
    </w:p>
    <w:p>
      <w:pPr>
        <w:keepNext w:val="0"/>
        <w:keepLines w:val="0"/>
        <w:pageBreakBefore w:val="0"/>
        <w:widowControl w:val="0"/>
        <w:kinsoku/>
        <w:wordWrap/>
        <w:overflowPunct/>
        <w:topLinePunct w:val="0"/>
        <w:autoSpaceDE/>
        <w:autoSpaceDN/>
        <w:bidi w:val="0"/>
        <w:adjustRightInd/>
        <w:spacing w:line="579" w:lineRule="exact"/>
        <w:ind w:firstLine="602"/>
        <w:textAlignment w:val="auto"/>
        <w:rPr>
          <w:rFonts w:hint="eastAsia" w:ascii="仿宋_GB2312"/>
          <w:b w:val="0"/>
          <w:bCs w:val="0"/>
          <w:sz w:val="32"/>
          <w:szCs w:val="32"/>
          <w:u w:val="none"/>
        </w:rPr>
      </w:pPr>
      <w:r>
        <w:rPr>
          <w:rFonts w:ascii="仿宋_GB2312"/>
          <w:b w:val="0"/>
          <w:bCs w:val="0"/>
          <w:sz w:val="32"/>
          <w:szCs w:val="32"/>
          <w:u w:val="none"/>
        </w:rPr>
        <w:t>“</w:t>
      </w:r>
      <w:r>
        <w:rPr>
          <w:b w:val="0"/>
          <w:bCs w:val="0"/>
          <w:sz w:val="32"/>
          <w:szCs w:val="32"/>
          <w:u w:val="none"/>
        </w:rPr>
        <w:t>2</w:t>
      </w:r>
      <w:r>
        <w:rPr>
          <w:rFonts w:ascii="仿宋_GB2312"/>
          <w:b w:val="0"/>
          <w:bCs w:val="0"/>
          <w:sz w:val="32"/>
          <w:szCs w:val="32"/>
          <w:u w:val="none"/>
        </w:rPr>
        <w:t>+</w:t>
      </w:r>
      <w:r>
        <w:rPr>
          <w:b w:val="0"/>
          <w:bCs w:val="0"/>
          <w:sz w:val="32"/>
          <w:szCs w:val="32"/>
          <w:u w:val="none"/>
        </w:rPr>
        <w:t>5</w:t>
      </w:r>
      <w:r>
        <w:rPr>
          <w:rFonts w:ascii="仿宋_GB2312"/>
          <w:b w:val="0"/>
          <w:bCs w:val="0"/>
          <w:sz w:val="32"/>
          <w:szCs w:val="32"/>
          <w:u w:val="none"/>
        </w:rPr>
        <w:t>”市级中心：市级中心分为市级综合服务中心和市级专业化中心。其中，市级专业化中心</w:t>
      </w:r>
      <w:r>
        <w:rPr>
          <w:rFonts w:hint="eastAsia" w:ascii="仿宋_GB2312"/>
          <w:b w:val="0"/>
          <w:bCs w:val="0"/>
          <w:sz w:val="32"/>
          <w:szCs w:val="32"/>
          <w:u w:val="none"/>
        </w:rPr>
        <w:t>指具备战略性区位或依托战略性设施，发挥区域性专业功能的中心，对远景鹤洲中央商务区起到培育和促进的作用。到</w:t>
      </w:r>
      <w:r>
        <w:rPr>
          <w:rFonts w:hint="eastAsia"/>
          <w:b w:val="0"/>
          <w:bCs w:val="0"/>
          <w:sz w:val="32"/>
          <w:szCs w:val="32"/>
          <w:u w:val="none"/>
        </w:rPr>
        <w:t>2</w:t>
      </w:r>
      <w:r>
        <w:rPr>
          <w:b w:val="0"/>
          <w:bCs w:val="0"/>
          <w:sz w:val="32"/>
          <w:szCs w:val="32"/>
          <w:u w:val="none"/>
        </w:rPr>
        <w:t>035</w:t>
      </w:r>
      <w:r>
        <w:rPr>
          <w:rFonts w:ascii="仿宋_GB2312"/>
          <w:b w:val="0"/>
          <w:bCs w:val="0"/>
          <w:sz w:val="32"/>
          <w:szCs w:val="32"/>
          <w:u w:val="none"/>
        </w:rPr>
        <w:t>年，规划</w:t>
      </w:r>
      <w:r>
        <w:rPr>
          <w:rFonts w:hint="eastAsia"/>
          <w:b w:val="0"/>
          <w:bCs w:val="0"/>
          <w:sz w:val="32"/>
          <w:szCs w:val="32"/>
          <w:u w:val="none"/>
        </w:rPr>
        <w:t>2</w:t>
      </w:r>
      <w:r>
        <w:rPr>
          <w:rFonts w:hint="eastAsia" w:ascii="仿宋_GB2312"/>
          <w:b w:val="0"/>
          <w:bCs w:val="0"/>
          <w:sz w:val="32"/>
          <w:szCs w:val="32"/>
          <w:u w:val="none"/>
        </w:rPr>
        <w:t>个</w:t>
      </w:r>
      <w:r>
        <w:rPr>
          <w:rFonts w:ascii="仿宋_GB2312"/>
          <w:b w:val="0"/>
          <w:bCs w:val="0"/>
          <w:sz w:val="32"/>
          <w:szCs w:val="32"/>
          <w:u w:val="none"/>
        </w:rPr>
        <w:t>市级综合服务中心和</w:t>
      </w:r>
      <w:r>
        <w:rPr>
          <w:rFonts w:hint="eastAsia"/>
          <w:b w:val="0"/>
          <w:bCs w:val="0"/>
          <w:sz w:val="32"/>
          <w:szCs w:val="32"/>
          <w:u w:val="none"/>
        </w:rPr>
        <w:t>5</w:t>
      </w:r>
      <w:r>
        <w:rPr>
          <w:rFonts w:hint="eastAsia" w:ascii="仿宋_GB2312"/>
          <w:b w:val="0"/>
          <w:bCs w:val="0"/>
          <w:sz w:val="32"/>
          <w:szCs w:val="32"/>
          <w:u w:val="none"/>
        </w:rPr>
        <w:t>个</w:t>
      </w:r>
      <w:r>
        <w:rPr>
          <w:rFonts w:ascii="仿宋_GB2312"/>
          <w:b w:val="0"/>
          <w:bCs w:val="0"/>
          <w:sz w:val="32"/>
          <w:szCs w:val="32"/>
          <w:u w:val="none"/>
        </w:rPr>
        <w:t>市级专业化中心。</w:t>
      </w:r>
      <w:r>
        <w:rPr>
          <w:rFonts w:hint="eastAsia"/>
          <w:b w:val="0"/>
          <w:bCs w:val="0"/>
          <w:sz w:val="32"/>
          <w:szCs w:val="32"/>
          <w:u w:val="none"/>
        </w:rPr>
        <w:t>2</w:t>
      </w:r>
      <w:r>
        <w:rPr>
          <w:rFonts w:hint="eastAsia" w:ascii="仿宋_GB2312"/>
          <w:b w:val="0"/>
          <w:bCs w:val="0"/>
          <w:sz w:val="32"/>
          <w:szCs w:val="32"/>
          <w:u w:val="none"/>
        </w:rPr>
        <w:t>个市级综合服务中心分别是东部市级综合服务中心和西部市级综合服务中心；</w:t>
      </w:r>
      <w:r>
        <w:rPr>
          <w:rFonts w:hint="eastAsia"/>
          <w:b w:val="0"/>
          <w:bCs w:val="0"/>
          <w:sz w:val="32"/>
          <w:szCs w:val="32"/>
          <w:u w:val="none"/>
        </w:rPr>
        <w:t>5</w:t>
      </w:r>
      <w:r>
        <w:rPr>
          <w:rFonts w:hint="eastAsia" w:ascii="仿宋_GB2312"/>
          <w:b w:val="0"/>
          <w:bCs w:val="0"/>
          <w:sz w:val="32"/>
          <w:szCs w:val="32"/>
          <w:u w:val="none"/>
        </w:rPr>
        <w:t>个市级专业化中心分别是金银湾总部经济专业化中心、吉大旅游服务中心、拱北商贸中心、十字门会展中心和高铁经济专业化中心。</w:t>
      </w:r>
    </w:p>
    <w:p>
      <w:pPr>
        <w:keepNext w:val="0"/>
        <w:keepLines w:val="0"/>
        <w:pageBreakBefore w:val="0"/>
        <w:widowControl w:val="0"/>
        <w:kinsoku/>
        <w:wordWrap/>
        <w:overflowPunct/>
        <w:topLinePunct w:val="0"/>
        <w:autoSpaceDE/>
        <w:autoSpaceDN/>
        <w:bidi w:val="0"/>
        <w:adjustRightInd/>
        <w:spacing w:line="579" w:lineRule="exact"/>
        <w:ind w:firstLine="602"/>
        <w:textAlignment w:val="auto"/>
        <w:rPr>
          <w:rFonts w:hint="eastAsia" w:ascii="仿宋_GB2312"/>
          <w:b w:val="0"/>
          <w:bCs w:val="0"/>
          <w:sz w:val="32"/>
          <w:szCs w:val="32"/>
          <w:u w:val="none"/>
        </w:rPr>
      </w:pPr>
      <w:r>
        <w:rPr>
          <w:rFonts w:hint="eastAsia"/>
          <w:b w:val="0"/>
          <w:bCs w:val="0"/>
          <w:sz w:val="32"/>
          <w:szCs w:val="32"/>
          <w:u w:val="none"/>
        </w:rPr>
        <w:t>3</w:t>
      </w:r>
      <w:r>
        <w:rPr>
          <w:rFonts w:hint="eastAsia" w:ascii="仿宋_GB2312"/>
          <w:b w:val="0"/>
          <w:bCs w:val="0"/>
          <w:sz w:val="32"/>
          <w:szCs w:val="32"/>
          <w:u w:val="none"/>
        </w:rPr>
        <w:t>个片区中心：分别是高新片区</w:t>
      </w:r>
      <w:r>
        <w:rPr>
          <w:rFonts w:hint="eastAsia"/>
          <w:b w:val="0"/>
          <w:bCs w:val="0"/>
          <w:sz w:val="32"/>
          <w:szCs w:val="32"/>
          <w:u w:val="none"/>
        </w:rPr>
        <w:t>中心</w:t>
      </w:r>
      <w:r>
        <w:rPr>
          <w:rFonts w:hint="eastAsia" w:ascii="仿宋_GB2312"/>
          <w:b w:val="0"/>
          <w:bCs w:val="0"/>
          <w:sz w:val="32"/>
          <w:szCs w:val="32"/>
          <w:u w:val="none"/>
        </w:rPr>
        <w:t>、金湾片区中心和斗门片区中心。</w:t>
      </w:r>
    </w:p>
    <w:p>
      <w:pPr>
        <w:keepNext w:val="0"/>
        <w:keepLines w:val="0"/>
        <w:pageBreakBefore w:val="0"/>
        <w:widowControl w:val="0"/>
        <w:kinsoku/>
        <w:wordWrap/>
        <w:overflowPunct/>
        <w:topLinePunct w:val="0"/>
        <w:autoSpaceDE/>
        <w:autoSpaceDN/>
        <w:bidi w:val="0"/>
        <w:adjustRightInd/>
        <w:spacing w:line="579" w:lineRule="exact"/>
        <w:ind w:firstLine="602"/>
        <w:textAlignment w:val="auto"/>
        <w:rPr>
          <w:rFonts w:hint="eastAsia" w:ascii="仿宋_GB2312"/>
          <w:b w:val="0"/>
          <w:bCs w:val="0"/>
          <w:sz w:val="32"/>
          <w:szCs w:val="32"/>
          <w:u w:val="none"/>
        </w:rPr>
      </w:pPr>
      <w:r>
        <w:rPr>
          <w:rFonts w:hint="eastAsia"/>
          <w:b w:val="0"/>
          <w:bCs w:val="0"/>
          <w:sz w:val="32"/>
          <w:szCs w:val="32"/>
          <w:u w:val="none"/>
        </w:rPr>
        <w:t>2</w:t>
      </w:r>
      <w:r>
        <w:rPr>
          <w:b w:val="0"/>
          <w:bCs w:val="0"/>
          <w:sz w:val="32"/>
          <w:szCs w:val="32"/>
          <w:u w:val="none"/>
        </w:rPr>
        <w:t>0</w:t>
      </w:r>
      <w:r>
        <w:rPr>
          <w:rFonts w:hint="eastAsia" w:ascii="仿宋_GB2312"/>
          <w:b w:val="0"/>
          <w:bCs w:val="0"/>
          <w:sz w:val="32"/>
          <w:szCs w:val="32"/>
          <w:u w:val="none"/>
        </w:rPr>
        <w:t>个基本城市组团中心：作为</w:t>
      </w:r>
      <w:r>
        <w:rPr>
          <w:rFonts w:hint="eastAsia"/>
          <w:b w:val="0"/>
          <w:bCs w:val="0"/>
          <w:sz w:val="32"/>
          <w:szCs w:val="32"/>
          <w:u w:val="none"/>
        </w:rPr>
        <w:t>基本</w:t>
      </w:r>
      <w:r>
        <w:rPr>
          <w:rFonts w:hint="eastAsia" w:ascii="仿宋_GB2312"/>
          <w:b w:val="0"/>
          <w:bCs w:val="0"/>
          <w:sz w:val="32"/>
          <w:szCs w:val="32"/>
          <w:u w:val="none"/>
        </w:rPr>
        <w:t>城市组团的生活、服务、商业、交通中心。</w:t>
      </w:r>
    </w:p>
    <w:p>
      <w:pPr>
        <w:keepNext w:val="0"/>
        <w:keepLines w:val="0"/>
        <w:pageBreakBefore w:val="0"/>
        <w:widowControl w:val="0"/>
        <w:kinsoku/>
        <w:wordWrap/>
        <w:overflowPunct/>
        <w:topLinePunct w:val="0"/>
        <w:autoSpaceDE/>
        <w:autoSpaceDN/>
        <w:bidi w:val="0"/>
        <w:adjustRightInd/>
        <w:spacing w:line="579" w:lineRule="exact"/>
        <w:ind w:firstLine="602"/>
        <w:textAlignment w:val="auto"/>
        <w:rPr>
          <w:rFonts w:hint="eastAsia" w:ascii="仿宋_GB2312" w:hAnsi="仿宋"/>
          <w:b w:val="0"/>
          <w:bCs w:val="0"/>
          <w:sz w:val="32"/>
          <w:szCs w:val="32"/>
          <w:u w:val="none"/>
        </w:rPr>
      </w:pPr>
      <w:r>
        <w:rPr>
          <w:rFonts w:hint="eastAsia" w:ascii="仿宋_GB2312"/>
          <w:b w:val="0"/>
          <w:bCs w:val="0"/>
          <w:sz w:val="32"/>
          <w:szCs w:val="32"/>
          <w:u w:val="none"/>
        </w:rPr>
        <w:t>若干邻里中心：结合</w:t>
      </w:r>
      <w:r>
        <w:rPr>
          <w:rFonts w:hint="eastAsia"/>
          <w:b w:val="0"/>
          <w:bCs w:val="0"/>
          <w:sz w:val="32"/>
          <w:szCs w:val="32"/>
          <w:u w:val="none"/>
        </w:rPr>
        <w:t>10</w:t>
      </w:r>
      <w:r>
        <w:rPr>
          <w:rFonts w:hint="eastAsia" w:ascii="仿宋_GB2312"/>
          <w:b w:val="0"/>
          <w:bCs w:val="0"/>
          <w:sz w:val="32"/>
          <w:szCs w:val="32"/>
          <w:u w:val="none"/>
        </w:rPr>
        <w:t>分钟生活圈布局，强化邻里中心的社区服务功能。</w:t>
      </w:r>
    </w:p>
    <w:p>
      <w:pPr>
        <w:pStyle w:val="81"/>
        <w:keepNext w:val="0"/>
        <w:keepLines w:val="0"/>
        <w:pageBreakBefore w:val="0"/>
        <w:widowControl w:val="0"/>
        <w:numPr>
          <w:ilvl w:val="0"/>
          <w:numId w:val="8"/>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b w:val="0"/>
          <w:bCs w:val="0"/>
          <w:sz w:val="32"/>
          <w:szCs w:val="32"/>
          <w:u w:val="none"/>
        </w:rPr>
      </w:pPr>
      <w:bookmarkStart w:id="81" w:name="_Toc20141"/>
      <w:r>
        <w:rPr>
          <w:rFonts w:hint="eastAsia"/>
          <w:b w:val="0"/>
          <w:bCs w:val="0"/>
          <w:sz w:val="32"/>
          <w:szCs w:val="32"/>
          <w:u w:val="none"/>
        </w:rPr>
        <w:t>产业发展格局</w:t>
      </w:r>
      <w:bookmarkEnd w:id="81"/>
    </w:p>
    <w:p>
      <w:pPr>
        <w:pStyle w:val="85"/>
        <w:keepNext w:val="0"/>
        <w:keepLines w:val="0"/>
        <w:pageBreakBefore w:val="0"/>
        <w:widowControl w:val="0"/>
        <w:kinsoku/>
        <w:wordWrap/>
        <w:overflowPunct/>
        <w:topLinePunct w:val="0"/>
        <w:autoSpaceDE/>
        <w:autoSpaceDN/>
        <w:bidi w:val="0"/>
        <w:adjustRightInd/>
        <w:spacing w:before="0" w:beforeLines="0" w:after="0" w:afterLines="0" w:line="579" w:lineRule="exact"/>
        <w:ind w:left="198" w:leftChars="0" w:firstLineChars="0"/>
        <w:textAlignment w:val="auto"/>
        <w:rPr>
          <w:rFonts w:hint="eastAsia"/>
          <w:b w:val="0"/>
          <w:bCs w:val="0"/>
          <w:sz w:val="32"/>
          <w:szCs w:val="32"/>
          <w:u w:val="none"/>
        </w:rPr>
      </w:pPr>
      <w:bookmarkStart w:id="82" w:name="_Toc6335"/>
      <w:r>
        <w:rPr>
          <w:rFonts w:hint="eastAsia"/>
          <w:b w:val="0"/>
          <w:bCs w:val="0"/>
          <w:sz w:val="32"/>
          <w:szCs w:val="32"/>
          <w:u w:val="none"/>
        </w:rPr>
        <w:t>优化产业布局</w:t>
      </w:r>
      <w:bookmarkEnd w:id="82"/>
    </w:p>
    <w:p>
      <w:pPr>
        <w:keepNext w:val="0"/>
        <w:keepLines w:val="0"/>
        <w:pageBreakBefore w:val="0"/>
        <w:widowControl w:val="0"/>
        <w:kinsoku/>
        <w:wordWrap/>
        <w:overflowPunct/>
        <w:topLinePunct w:val="0"/>
        <w:autoSpaceDE/>
        <w:autoSpaceDN/>
        <w:bidi w:val="0"/>
        <w:adjustRightIn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贯彻落实广东省“制造业当家”战略，优化“一廊两网多节点”的现代产业空间布局，支撑珠江口西岸核心城市建设。</w:t>
      </w:r>
    </w:p>
    <w:p>
      <w:pPr>
        <w:keepNext w:val="0"/>
        <w:keepLines w:val="0"/>
        <w:pageBreakBefore w:val="0"/>
        <w:widowControl w:val="0"/>
        <w:kinsoku/>
        <w:wordWrap/>
        <w:overflowPunct/>
        <w:topLinePunct w:val="0"/>
        <w:autoSpaceDE/>
        <w:autoSpaceDN/>
        <w:bidi w:val="0"/>
        <w:adjustRightIn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建设</w:t>
      </w:r>
      <w:r>
        <w:rPr>
          <w:rFonts w:ascii="仿宋_GB2312"/>
          <w:b w:val="0"/>
          <w:bCs w:val="0"/>
          <w:sz w:val="32"/>
          <w:szCs w:val="32"/>
          <w:u w:val="none"/>
        </w:rPr>
        <w:t>商贸文旅走廊。</w:t>
      </w:r>
      <w:r>
        <w:rPr>
          <w:rFonts w:hint="eastAsia" w:ascii="仿宋_GB2312"/>
          <w:b w:val="0"/>
          <w:bCs w:val="0"/>
          <w:sz w:val="32"/>
          <w:szCs w:val="32"/>
          <w:u w:val="none"/>
        </w:rPr>
        <w:t>以西部综合服务中心为重点空间，加快</w:t>
      </w:r>
      <w:r>
        <w:rPr>
          <w:rFonts w:hint="eastAsia" w:ascii="仿宋_GB2312" w:cs="宋体"/>
          <w:b w:val="0"/>
          <w:bCs w:val="0"/>
          <w:sz w:val="32"/>
          <w:szCs w:val="32"/>
          <w:u w:val="none"/>
        </w:rPr>
        <w:t>金银湾总部经济专业化中心</w:t>
      </w:r>
      <w:r>
        <w:rPr>
          <w:rFonts w:hint="eastAsia" w:ascii="仿宋_GB2312"/>
          <w:b w:val="0"/>
          <w:bCs w:val="0"/>
          <w:sz w:val="32"/>
          <w:szCs w:val="32"/>
          <w:u w:val="none"/>
        </w:rPr>
        <w:t>、吉大旅游服务中心、拱北商贸中心、十字门会展中心等地区的开发建设。串联珠海</w:t>
      </w:r>
      <w:r>
        <w:rPr>
          <w:rFonts w:ascii="仿宋_GB2312"/>
          <w:b w:val="0"/>
          <w:bCs w:val="0"/>
          <w:sz w:val="32"/>
          <w:szCs w:val="32"/>
          <w:u w:val="none"/>
        </w:rPr>
        <w:t>大剧院、珠海渔女、珠海长隆国际海洋度假区、海泉湾度假区、金台寺</w:t>
      </w:r>
      <w:r>
        <w:rPr>
          <w:rFonts w:hint="eastAsia" w:ascii="仿宋_GB2312"/>
          <w:b w:val="0"/>
          <w:bCs w:val="0"/>
          <w:sz w:val="32"/>
          <w:szCs w:val="32"/>
          <w:u w:val="none"/>
        </w:rPr>
        <w:t>等</w:t>
      </w:r>
      <w:r>
        <w:rPr>
          <w:rFonts w:ascii="仿宋_GB2312"/>
          <w:b w:val="0"/>
          <w:bCs w:val="0"/>
          <w:sz w:val="32"/>
          <w:szCs w:val="32"/>
          <w:u w:val="none"/>
        </w:rPr>
        <w:t>特色文旅</w:t>
      </w:r>
      <w:r>
        <w:rPr>
          <w:rFonts w:hint="eastAsia" w:ascii="仿宋_GB2312"/>
          <w:b w:val="0"/>
          <w:bCs w:val="0"/>
          <w:sz w:val="32"/>
          <w:szCs w:val="32"/>
          <w:u w:val="none"/>
        </w:rPr>
        <w:t>节点</w:t>
      </w:r>
      <w:r>
        <w:rPr>
          <w:rFonts w:ascii="仿宋_GB2312"/>
          <w:b w:val="0"/>
          <w:bCs w:val="0"/>
          <w:sz w:val="32"/>
          <w:szCs w:val="32"/>
          <w:u w:val="none"/>
        </w:rPr>
        <w:t>，</w:t>
      </w:r>
      <w:r>
        <w:rPr>
          <w:rFonts w:hint="eastAsia" w:ascii="仿宋_GB2312"/>
          <w:b w:val="0"/>
          <w:bCs w:val="0"/>
          <w:sz w:val="32"/>
          <w:szCs w:val="32"/>
          <w:u w:val="none"/>
        </w:rPr>
        <w:t>建设</w:t>
      </w:r>
      <w:r>
        <w:rPr>
          <w:rFonts w:ascii="仿宋_GB2312"/>
          <w:b w:val="0"/>
          <w:bCs w:val="0"/>
          <w:sz w:val="32"/>
          <w:szCs w:val="32"/>
          <w:u w:val="none"/>
        </w:rPr>
        <w:t>商贸文旅走廊</w:t>
      </w:r>
      <w:r>
        <w:rPr>
          <w:rFonts w:hint="eastAsia" w:ascii="仿宋_GB2312"/>
          <w:b w:val="0"/>
          <w:bCs w:val="0"/>
          <w:sz w:val="32"/>
          <w:szCs w:val="32"/>
          <w:u w:val="none"/>
        </w:rPr>
        <w:t>，培育提升商贸物流中心、区域消费中心、特色金融中心、文化艺术中心等核心城市职能。</w:t>
      </w:r>
    </w:p>
    <w:p>
      <w:pPr>
        <w:keepNext w:val="0"/>
        <w:keepLines w:val="0"/>
        <w:pageBreakBefore w:val="0"/>
        <w:widowControl w:val="0"/>
        <w:kinsoku/>
        <w:wordWrap/>
        <w:overflowPunct/>
        <w:topLinePunct w:val="0"/>
        <w:autoSpaceDE/>
        <w:autoSpaceDN/>
        <w:bidi w:val="0"/>
        <w:adjustRightInd/>
        <w:spacing w:line="579" w:lineRule="exact"/>
        <w:ind w:firstLine="0" w:firstLineChars="0"/>
        <w:textAlignment w:val="auto"/>
        <w:rPr>
          <w:rFonts w:ascii="仿宋_GB2312"/>
          <w:b w:val="0"/>
          <w:bCs w:val="0"/>
          <w:sz w:val="32"/>
          <w:szCs w:val="32"/>
          <w:u w:val="none"/>
        </w:rPr>
      </w:pPr>
      <w:r>
        <w:rPr>
          <w:rFonts w:hint="eastAsia" w:ascii="仿宋_GB2312"/>
          <w:b w:val="0"/>
          <w:bCs w:val="0"/>
          <w:sz w:val="32"/>
          <w:szCs w:val="32"/>
          <w:u w:val="none"/>
        </w:rPr>
        <w:t xml:space="preserve"> </w:t>
      </w:r>
      <w:r>
        <w:rPr>
          <w:rFonts w:ascii="仿宋_GB2312"/>
          <w:b w:val="0"/>
          <w:bCs w:val="0"/>
          <w:sz w:val="32"/>
          <w:szCs w:val="32"/>
          <w:u w:val="none"/>
        </w:rPr>
        <w:t xml:space="preserve">   </w:t>
      </w:r>
      <w:r>
        <w:rPr>
          <w:rFonts w:hint="eastAsia" w:ascii="仿宋_GB2312"/>
          <w:b w:val="0"/>
          <w:bCs w:val="0"/>
          <w:sz w:val="32"/>
          <w:szCs w:val="32"/>
          <w:u w:val="none"/>
        </w:rPr>
        <w:t>搭建</w:t>
      </w:r>
      <w:r>
        <w:rPr>
          <w:rFonts w:ascii="仿宋_GB2312"/>
          <w:b w:val="0"/>
          <w:bCs w:val="0"/>
          <w:sz w:val="32"/>
          <w:szCs w:val="32"/>
          <w:u w:val="none"/>
        </w:rPr>
        <w:t>科技创新</w:t>
      </w:r>
      <w:r>
        <w:rPr>
          <w:rFonts w:hint="eastAsia" w:ascii="仿宋_GB2312"/>
          <w:b w:val="0"/>
          <w:bCs w:val="0"/>
          <w:sz w:val="32"/>
          <w:szCs w:val="32"/>
          <w:u w:val="none"/>
        </w:rPr>
        <w:t>网络。支撑粤港澳大湾区国际科创中心“两廊两点”建设，对接广珠澳科技创新走廊，依托</w:t>
      </w:r>
      <w:r>
        <w:rPr>
          <w:rFonts w:hint="eastAsia"/>
          <w:b w:val="0"/>
          <w:bCs w:val="0"/>
          <w:sz w:val="32"/>
          <w:szCs w:val="32"/>
          <w:u w:val="none"/>
        </w:rPr>
        <w:t>高新技术产业</w:t>
      </w:r>
      <w:r>
        <w:rPr>
          <w:rFonts w:hint="eastAsia" w:ascii="仿宋_GB2312"/>
          <w:b w:val="0"/>
          <w:bCs w:val="0"/>
          <w:sz w:val="32"/>
          <w:szCs w:val="32"/>
          <w:u w:val="none"/>
        </w:rPr>
        <w:t>开发区、</w:t>
      </w:r>
      <w:r>
        <w:rPr>
          <w:rFonts w:ascii="仿宋_GB2312"/>
          <w:b w:val="0"/>
          <w:bCs w:val="0"/>
          <w:sz w:val="32"/>
          <w:szCs w:val="32"/>
          <w:u w:val="none"/>
        </w:rPr>
        <w:t>三溪科创城和</w:t>
      </w:r>
      <w:r>
        <w:rPr>
          <w:rFonts w:hint="eastAsia" w:ascii="仿宋_GB2312"/>
          <w:b w:val="0"/>
          <w:bCs w:val="0"/>
          <w:sz w:val="32"/>
          <w:szCs w:val="32"/>
          <w:u w:val="none"/>
        </w:rPr>
        <w:t>南屏</w:t>
      </w:r>
      <w:r>
        <w:rPr>
          <w:rFonts w:ascii="仿宋_GB2312"/>
          <w:b w:val="0"/>
          <w:bCs w:val="0"/>
          <w:sz w:val="32"/>
          <w:szCs w:val="32"/>
          <w:u w:val="none"/>
        </w:rPr>
        <w:t>科技工业园</w:t>
      </w:r>
      <w:r>
        <w:rPr>
          <w:rFonts w:hint="eastAsia" w:ascii="仿宋_GB2312"/>
          <w:b w:val="0"/>
          <w:bCs w:val="0"/>
          <w:sz w:val="32"/>
          <w:szCs w:val="32"/>
          <w:u w:val="none"/>
        </w:rPr>
        <w:t>等研发型产业园</w:t>
      </w:r>
      <w:r>
        <w:rPr>
          <w:rFonts w:ascii="仿宋_GB2312"/>
          <w:b w:val="0"/>
          <w:bCs w:val="0"/>
          <w:sz w:val="32"/>
          <w:szCs w:val="32"/>
          <w:u w:val="none"/>
        </w:rPr>
        <w:t>，</w:t>
      </w:r>
      <w:r>
        <w:rPr>
          <w:rFonts w:hint="eastAsia" w:ascii="仿宋_GB2312"/>
          <w:b w:val="0"/>
          <w:bCs w:val="0"/>
          <w:sz w:val="32"/>
          <w:szCs w:val="32"/>
          <w:u w:val="none"/>
        </w:rPr>
        <w:t>推动国家级实验室、技术研究院、孵化加速器等多元化的科技研发和产业化平台布局珠海，引导</w:t>
      </w:r>
      <w:r>
        <w:rPr>
          <w:rFonts w:ascii="仿宋_GB2312"/>
          <w:b w:val="0"/>
          <w:bCs w:val="0"/>
          <w:sz w:val="32"/>
          <w:szCs w:val="32"/>
          <w:u w:val="none"/>
        </w:rPr>
        <w:t>创新空间协同发展</w:t>
      </w:r>
      <w:r>
        <w:rPr>
          <w:rFonts w:hint="eastAsia" w:ascii="仿宋_GB2312"/>
          <w:b w:val="0"/>
          <w:bCs w:val="0"/>
          <w:sz w:val="32"/>
          <w:szCs w:val="32"/>
          <w:u w:val="none"/>
        </w:rPr>
        <w:t>，形成科技创新网络，培育区域科技创新中心的核心城市职能，打造产业创新高地。</w:t>
      </w:r>
    </w:p>
    <w:p>
      <w:pPr>
        <w:keepNext w:val="0"/>
        <w:keepLines w:val="0"/>
        <w:pageBreakBefore w:val="0"/>
        <w:widowControl w:val="0"/>
        <w:kinsoku/>
        <w:wordWrap/>
        <w:overflowPunct/>
        <w:topLinePunct w:val="0"/>
        <w:autoSpaceDE/>
        <w:autoSpaceDN/>
        <w:bidi w:val="0"/>
        <w:adjustRightIn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构建高端制造网络。</w:t>
      </w:r>
      <w:r>
        <w:rPr>
          <w:rFonts w:ascii="仿宋_GB2312"/>
          <w:b w:val="0"/>
          <w:bCs w:val="0"/>
          <w:sz w:val="32"/>
          <w:szCs w:val="32"/>
          <w:u w:val="none"/>
        </w:rPr>
        <w:t>坚持制造业当家</w:t>
      </w:r>
      <w:r>
        <w:rPr>
          <w:rFonts w:hint="eastAsia" w:ascii="仿宋_GB2312"/>
          <w:b w:val="0"/>
          <w:bCs w:val="0"/>
          <w:sz w:val="32"/>
          <w:szCs w:val="32"/>
          <w:u w:val="none"/>
        </w:rPr>
        <w:t>，</w:t>
      </w:r>
      <w:r>
        <w:rPr>
          <w:rFonts w:ascii="仿宋_GB2312"/>
          <w:b w:val="0"/>
          <w:bCs w:val="0"/>
          <w:sz w:val="32"/>
          <w:szCs w:val="32"/>
          <w:u w:val="none"/>
        </w:rPr>
        <w:t>聚焦“大产业</w:t>
      </w:r>
      <w:r>
        <w:rPr>
          <w:rFonts w:hint="eastAsia" w:ascii="仿宋_GB2312"/>
          <w:b w:val="0"/>
          <w:bCs w:val="0"/>
          <w:sz w:val="32"/>
          <w:szCs w:val="32"/>
          <w:u w:val="none"/>
        </w:rPr>
        <w:t>”“</w:t>
      </w:r>
      <w:r>
        <w:rPr>
          <w:rFonts w:ascii="仿宋_GB2312"/>
          <w:b w:val="0"/>
          <w:bCs w:val="0"/>
          <w:sz w:val="32"/>
          <w:szCs w:val="32"/>
          <w:u w:val="none"/>
        </w:rPr>
        <w:t>大平台</w:t>
      </w:r>
      <w:r>
        <w:rPr>
          <w:rFonts w:hint="eastAsia" w:ascii="仿宋_GB2312"/>
          <w:b w:val="0"/>
          <w:bCs w:val="0"/>
          <w:sz w:val="32"/>
          <w:szCs w:val="32"/>
          <w:u w:val="none"/>
        </w:rPr>
        <w:t>”“</w:t>
      </w:r>
      <w:r>
        <w:rPr>
          <w:rFonts w:ascii="仿宋_GB2312"/>
          <w:b w:val="0"/>
          <w:bCs w:val="0"/>
          <w:sz w:val="32"/>
          <w:szCs w:val="32"/>
          <w:u w:val="none"/>
        </w:rPr>
        <w:t>大项目</w:t>
      </w:r>
      <w:r>
        <w:rPr>
          <w:rFonts w:hint="eastAsia" w:ascii="仿宋_GB2312"/>
          <w:b w:val="0"/>
          <w:bCs w:val="0"/>
          <w:sz w:val="32"/>
          <w:szCs w:val="32"/>
          <w:u w:val="none"/>
        </w:rPr>
        <w:t>”“</w:t>
      </w:r>
      <w:r>
        <w:rPr>
          <w:rFonts w:ascii="仿宋_GB2312"/>
          <w:b w:val="0"/>
          <w:bCs w:val="0"/>
          <w:sz w:val="32"/>
          <w:szCs w:val="32"/>
          <w:u w:val="none"/>
        </w:rPr>
        <w:t>大企业</w:t>
      </w:r>
      <w:r>
        <w:rPr>
          <w:rFonts w:hint="eastAsia" w:ascii="仿宋_GB2312"/>
          <w:b w:val="0"/>
          <w:bCs w:val="0"/>
          <w:sz w:val="32"/>
          <w:szCs w:val="32"/>
          <w:u w:val="none"/>
        </w:rPr>
        <w:t>”“</w:t>
      </w:r>
      <w:r>
        <w:rPr>
          <w:rFonts w:ascii="仿宋_GB2312"/>
          <w:b w:val="0"/>
          <w:bCs w:val="0"/>
          <w:sz w:val="32"/>
          <w:szCs w:val="32"/>
          <w:u w:val="none"/>
        </w:rPr>
        <w:t>大环境”</w:t>
      </w:r>
      <w:r>
        <w:rPr>
          <w:rFonts w:hint="eastAsia" w:ascii="仿宋_GB2312"/>
          <w:b w:val="0"/>
          <w:bCs w:val="0"/>
          <w:sz w:val="32"/>
          <w:szCs w:val="32"/>
          <w:u w:val="none"/>
        </w:rPr>
        <w:t>，</w:t>
      </w:r>
      <w:r>
        <w:rPr>
          <w:rFonts w:ascii="仿宋_GB2312"/>
          <w:b w:val="0"/>
          <w:bCs w:val="0"/>
          <w:sz w:val="32"/>
          <w:szCs w:val="32"/>
          <w:u w:val="none"/>
        </w:rPr>
        <w:t>着力实施八大攻坚工程，</w:t>
      </w:r>
      <w:r>
        <w:rPr>
          <w:rFonts w:hint="eastAsia" w:ascii="仿宋_GB2312"/>
          <w:b w:val="0"/>
          <w:bCs w:val="0"/>
          <w:sz w:val="32"/>
          <w:szCs w:val="32"/>
          <w:u w:val="none"/>
        </w:rPr>
        <w:t>推动制造业高质量发展。以珠海经济技术开发区、航空产业园、联港工业区、新青科技工业园、斗门智能制造产业园、富山工业园等多个产业节点为重点空间，加快产业链稳链补链强链，推进产业基础高端化，完善制造业协同发展体系，强化先进制造业中心的核心城市职能。</w:t>
      </w:r>
    </w:p>
    <w:p>
      <w:pPr>
        <w:keepNext w:val="0"/>
        <w:keepLines w:val="0"/>
        <w:pageBreakBefore w:val="0"/>
        <w:widowControl w:val="0"/>
        <w:kinsoku/>
        <w:wordWrap/>
        <w:overflowPunct/>
        <w:topLinePunct w:val="0"/>
        <w:autoSpaceDE/>
        <w:autoSpaceDN/>
        <w:bidi w:val="0"/>
        <w:adjustRightIn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壮大海洋产业经济。依托高栏港等重大基础设施和万山群岛资源，加快国家级海洋牧场、粤港澳大湾区海产品交易中心、国家海洋综合试验场（珠海）等重大平台和创新载体建设，推动海洋渔业转型升级，促进海洋战略性新兴产业、港口航运、海岛休闲旅游等多样化的海洋经济发展。</w:t>
      </w:r>
    </w:p>
    <w:p>
      <w:pPr>
        <w:pStyle w:val="85"/>
        <w:keepNext w:val="0"/>
        <w:keepLines w:val="0"/>
        <w:pageBreakBefore w:val="0"/>
        <w:widowControl w:val="0"/>
        <w:kinsoku/>
        <w:wordWrap/>
        <w:overflowPunct/>
        <w:topLinePunct w:val="0"/>
        <w:autoSpaceDE/>
        <w:autoSpaceDN/>
        <w:bidi w:val="0"/>
        <w:adjustRightInd/>
        <w:spacing w:before="0" w:beforeLines="0" w:after="0" w:afterLines="0" w:line="579" w:lineRule="exact"/>
        <w:ind w:left="198" w:leftChars="0" w:firstLineChars="0"/>
        <w:textAlignment w:val="auto"/>
        <w:rPr>
          <w:rFonts w:hint="eastAsia"/>
          <w:b w:val="0"/>
          <w:bCs w:val="0"/>
          <w:sz w:val="32"/>
          <w:szCs w:val="32"/>
          <w:u w:val="none"/>
        </w:rPr>
      </w:pPr>
      <w:bookmarkStart w:id="83" w:name="_Toc130822982"/>
      <w:bookmarkStart w:id="84" w:name="_Toc22073"/>
      <w:r>
        <w:rPr>
          <w:rFonts w:hint="eastAsia"/>
          <w:b w:val="0"/>
          <w:bCs w:val="0"/>
          <w:sz w:val="32"/>
          <w:szCs w:val="32"/>
          <w:u w:val="none"/>
        </w:rPr>
        <w:t>完善工业空间布局</w:t>
      </w:r>
      <w:bookmarkEnd w:id="83"/>
      <w:bookmarkEnd w:id="84"/>
    </w:p>
    <w:p>
      <w:pPr>
        <w:keepNext w:val="0"/>
        <w:keepLines w:val="0"/>
        <w:pageBreakBefore w:val="0"/>
        <w:widowControl w:val="0"/>
        <w:kinsoku/>
        <w:wordWrap/>
        <w:overflowPunct/>
        <w:topLinePunct w:val="0"/>
        <w:autoSpaceDE/>
        <w:autoSpaceDN/>
        <w:bidi w:val="0"/>
        <w:adjustRightIn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加快形成“大集中、小集聚”的工业空间布局。推动珠海经济技术开发区、航空产业园、高新技术产业开发区、富山工业园等大型产业园区建设成为配套功能齐全、相对独立的产业新城。结合基本城市组团布局小型产业集聚区，适度发展都市型工业，依托城市公共服务，促进职住平衡。</w:t>
      </w:r>
    </w:p>
    <w:p>
      <w:pPr>
        <w:keepNext w:val="0"/>
        <w:keepLines w:val="0"/>
        <w:pageBreakBefore w:val="0"/>
        <w:widowControl w:val="0"/>
        <w:kinsoku/>
        <w:wordWrap/>
        <w:overflowPunct/>
        <w:topLinePunct w:val="0"/>
        <w:autoSpaceDE/>
        <w:autoSpaceDN/>
        <w:bidi w:val="0"/>
        <w:adjustRightIn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构建</w:t>
      </w:r>
      <w:r>
        <w:rPr>
          <w:rFonts w:ascii="仿宋_GB2312"/>
          <w:b w:val="0"/>
          <w:bCs w:val="0"/>
          <w:sz w:val="32"/>
          <w:szCs w:val="32"/>
          <w:u w:val="none"/>
        </w:rPr>
        <w:t>“</w:t>
      </w:r>
      <w:r>
        <w:rPr>
          <w:rFonts w:hint="eastAsia"/>
          <w:b w:val="0"/>
          <w:bCs w:val="0"/>
          <w:sz w:val="32"/>
          <w:szCs w:val="32"/>
          <w:u w:val="none"/>
        </w:rPr>
        <w:t>4</w:t>
      </w:r>
      <w:r>
        <w:rPr>
          <w:rFonts w:hint="eastAsia" w:ascii="仿宋_GB2312"/>
          <w:b w:val="0"/>
          <w:bCs w:val="0"/>
          <w:sz w:val="32"/>
          <w:szCs w:val="32"/>
          <w:u w:val="none"/>
        </w:rPr>
        <w:t>+</w:t>
      </w:r>
      <w:r>
        <w:rPr>
          <w:rFonts w:hint="eastAsia"/>
          <w:b w:val="0"/>
          <w:bCs w:val="0"/>
          <w:sz w:val="32"/>
          <w:szCs w:val="32"/>
          <w:u w:val="none"/>
        </w:rPr>
        <w:t>3</w:t>
      </w:r>
      <w:r>
        <w:rPr>
          <w:rFonts w:ascii="仿宋_GB2312"/>
          <w:b w:val="0"/>
          <w:bCs w:val="0"/>
          <w:sz w:val="32"/>
          <w:szCs w:val="32"/>
          <w:u w:val="none"/>
        </w:rPr>
        <w:t>”</w:t>
      </w:r>
      <w:r>
        <w:rPr>
          <w:rFonts w:hint="eastAsia" w:ascii="仿宋_GB2312"/>
          <w:b w:val="0"/>
          <w:bCs w:val="0"/>
          <w:sz w:val="32"/>
          <w:szCs w:val="32"/>
          <w:u w:val="none"/>
        </w:rPr>
        <w:t>现代</w:t>
      </w:r>
      <w:r>
        <w:rPr>
          <w:rFonts w:ascii="仿宋_GB2312"/>
          <w:b w:val="0"/>
          <w:bCs w:val="0"/>
          <w:sz w:val="32"/>
          <w:szCs w:val="32"/>
          <w:u w:val="none"/>
        </w:rPr>
        <w:t>产业发展格局</w:t>
      </w:r>
      <w:r>
        <w:rPr>
          <w:rFonts w:hint="eastAsia" w:ascii="仿宋_GB2312"/>
          <w:b w:val="0"/>
          <w:bCs w:val="0"/>
          <w:sz w:val="32"/>
          <w:szCs w:val="32"/>
          <w:u w:val="none"/>
        </w:rPr>
        <w:t>。聚焦做大</w:t>
      </w:r>
      <w:r>
        <w:rPr>
          <w:rFonts w:ascii="仿宋_GB2312"/>
          <w:b w:val="0"/>
          <w:bCs w:val="0"/>
          <w:sz w:val="32"/>
          <w:szCs w:val="32"/>
          <w:u w:val="none"/>
        </w:rPr>
        <w:t>新一代信息技术、新能源、集成电路、生物医药与健康四大主导产业，做强智能家电、装备</w:t>
      </w:r>
      <w:r>
        <w:rPr>
          <w:rFonts w:hint="eastAsia" w:ascii="仿宋_GB2312"/>
          <w:b w:val="0"/>
          <w:bCs w:val="0"/>
          <w:sz w:val="32"/>
          <w:szCs w:val="32"/>
          <w:u w:val="none"/>
        </w:rPr>
        <w:t>制造</w:t>
      </w:r>
      <w:r>
        <w:rPr>
          <w:rFonts w:ascii="仿宋_GB2312"/>
          <w:b w:val="0"/>
          <w:bCs w:val="0"/>
          <w:sz w:val="32"/>
          <w:szCs w:val="32"/>
          <w:u w:val="none"/>
        </w:rPr>
        <w:t>、精细化工三大优势产业，加快构建</w:t>
      </w:r>
      <w:r>
        <w:rPr>
          <w:rFonts w:hint="eastAsia" w:ascii="仿宋_GB2312"/>
          <w:b w:val="0"/>
          <w:bCs w:val="0"/>
          <w:sz w:val="32"/>
          <w:szCs w:val="32"/>
          <w:u w:val="none"/>
        </w:rPr>
        <w:t>现代</w:t>
      </w:r>
      <w:r>
        <w:rPr>
          <w:rFonts w:ascii="仿宋_GB2312"/>
          <w:b w:val="0"/>
          <w:bCs w:val="0"/>
          <w:sz w:val="32"/>
          <w:szCs w:val="32"/>
          <w:u w:val="none"/>
        </w:rPr>
        <w:t>产业发展格局</w:t>
      </w:r>
      <w:r>
        <w:rPr>
          <w:rFonts w:hint="eastAsia" w:ascii="仿宋_GB2312"/>
          <w:b w:val="0"/>
          <w:bCs w:val="0"/>
          <w:sz w:val="32"/>
          <w:szCs w:val="32"/>
          <w:u w:val="none"/>
        </w:rPr>
        <w:t>。实施</w:t>
      </w:r>
      <w:r>
        <w:rPr>
          <w:rFonts w:ascii="仿宋_GB2312"/>
          <w:b w:val="0"/>
          <w:bCs w:val="0"/>
          <w:sz w:val="32"/>
          <w:szCs w:val="32"/>
          <w:u w:val="none"/>
        </w:rPr>
        <w:t>产业立柱行动，</w:t>
      </w:r>
      <w:r>
        <w:rPr>
          <w:rFonts w:hint="eastAsia" w:ascii="仿宋_GB2312"/>
          <w:b w:val="0"/>
          <w:bCs w:val="0"/>
          <w:sz w:val="32"/>
          <w:szCs w:val="32"/>
          <w:u w:val="none"/>
        </w:rPr>
        <w:t>打好产业链供应链现代化攻坚战，培育壮大战略性新兴产业，打造具有国际竞争力的制造业产业集群。</w:t>
      </w:r>
    </w:p>
    <w:p>
      <w:pPr>
        <w:pStyle w:val="85"/>
        <w:keepNext w:val="0"/>
        <w:keepLines w:val="0"/>
        <w:pageBreakBefore w:val="0"/>
        <w:widowControl w:val="0"/>
        <w:kinsoku/>
        <w:wordWrap/>
        <w:overflowPunct/>
        <w:topLinePunct w:val="0"/>
        <w:autoSpaceDE/>
        <w:autoSpaceDN/>
        <w:bidi w:val="0"/>
        <w:adjustRightInd/>
        <w:spacing w:before="0" w:beforeLines="0" w:after="0" w:afterLines="0" w:line="579" w:lineRule="exact"/>
        <w:ind w:left="198" w:leftChars="0" w:firstLineChars="0"/>
        <w:textAlignment w:val="auto"/>
        <w:rPr>
          <w:rFonts w:hint="eastAsia"/>
          <w:b w:val="0"/>
          <w:bCs w:val="0"/>
          <w:sz w:val="32"/>
          <w:szCs w:val="32"/>
          <w:u w:val="none"/>
        </w:rPr>
      </w:pPr>
      <w:bookmarkStart w:id="85" w:name="_Toc30183"/>
      <w:r>
        <w:rPr>
          <w:rFonts w:hint="eastAsia"/>
          <w:b w:val="0"/>
          <w:bCs w:val="0"/>
          <w:sz w:val="32"/>
          <w:szCs w:val="32"/>
          <w:u w:val="none"/>
        </w:rPr>
        <w:t>保障5.0产业</w:t>
      </w:r>
      <w:r>
        <w:rPr>
          <w:b w:val="0"/>
          <w:bCs w:val="0"/>
          <w:sz w:val="32"/>
          <w:szCs w:val="32"/>
          <w:u w:val="none"/>
        </w:rPr>
        <w:t>新空间</w:t>
      </w:r>
      <w:bookmarkEnd w:id="85"/>
    </w:p>
    <w:p>
      <w:pPr>
        <w:keepNext w:val="0"/>
        <w:keepLines w:val="0"/>
        <w:pageBreakBefore w:val="0"/>
        <w:widowControl w:val="0"/>
        <w:kinsoku/>
        <w:wordWrap/>
        <w:overflowPunct/>
        <w:topLinePunct w:val="0"/>
        <w:autoSpaceDE/>
        <w:autoSpaceDN/>
        <w:bidi w:val="0"/>
        <w:adjustRightIn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建设“低租金、高标准、规模化、配套全、运营优”的</w:t>
      </w:r>
      <w:r>
        <w:rPr>
          <w:rFonts w:hint="eastAsia"/>
          <w:b w:val="0"/>
          <w:bCs w:val="0"/>
          <w:sz w:val="32"/>
          <w:szCs w:val="32"/>
          <w:u w:val="none"/>
        </w:rPr>
        <w:t>5</w:t>
      </w:r>
      <w:r>
        <w:rPr>
          <w:rFonts w:hint="eastAsia" w:ascii="仿宋_GB2312"/>
          <w:b w:val="0"/>
          <w:bCs w:val="0"/>
          <w:sz w:val="32"/>
          <w:szCs w:val="32"/>
          <w:u w:val="none"/>
        </w:rPr>
        <w:t>.</w:t>
      </w:r>
      <w:r>
        <w:rPr>
          <w:rFonts w:hint="eastAsia"/>
          <w:b w:val="0"/>
          <w:bCs w:val="0"/>
          <w:sz w:val="32"/>
          <w:szCs w:val="32"/>
          <w:u w:val="none"/>
        </w:rPr>
        <w:t>0</w:t>
      </w:r>
      <w:r>
        <w:rPr>
          <w:rFonts w:hint="eastAsia" w:ascii="仿宋_GB2312"/>
          <w:b w:val="0"/>
          <w:bCs w:val="0"/>
          <w:sz w:val="32"/>
          <w:szCs w:val="32"/>
          <w:u w:val="none"/>
        </w:rPr>
        <w:t>产业新空间，加快现代产业链有效构建和产业生态加速形成。坚持高标准建设，满足企业现代化生产需求。坚持规模化建设，加快企业集聚产业集群发展。坚持政府与市场相结合、强化空间开发与产业集聚相结合、新增建设和盘活存量相结合，加强</w:t>
      </w:r>
      <w:r>
        <w:rPr>
          <w:rFonts w:hint="eastAsia"/>
          <w:b w:val="0"/>
          <w:bCs w:val="0"/>
          <w:sz w:val="32"/>
          <w:szCs w:val="32"/>
          <w:u w:val="none"/>
        </w:rPr>
        <w:t>5</w:t>
      </w:r>
      <w:r>
        <w:rPr>
          <w:rFonts w:hint="eastAsia" w:ascii="仿宋_GB2312"/>
          <w:b w:val="0"/>
          <w:bCs w:val="0"/>
          <w:sz w:val="32"/>
          <w:szCs w:val="32"/>
          <w:u w:val="none"/>
        </w:rPr>
        <w:t>.</w:t>
      </w:r>
      <w:r>
        <w:rPr>
          <w:rFonts w:hint="eastAsia"/>
          <w:b w:val="0"/>
          <w:bCs w:val="0"/>
          <w:sz w:val="32"/>
          <w:szCs w:val="32"/>
          <w:u w:val="none"/>
        </w:rPr>
        <w:t>0</w:t>
      </w:r>
      <w:r>
        <w:rPr>
          <w:rFonts w:hint="eastAsia" w:ascii="仿宋_GB2312"/>
          <w:b w:val="0"/>
          <w:bCs w:val="0"/>
          <w:sz w:val="32"/>
          <w:szCs w:val="32"/>
          <w:u w:val="none"/>
        </w:rPr>
        <w:t>产业新空间的用地保障。</w:t>
      </w:r>
    </w:p>
    <w:p>
      <w:pPr>
        <w:pStyle w:val="85"/>
        <w:keepNext w:val="0"/>
        <w:keepLines w:val="0"/>
        <w:pageBreakBefore w:val="0"/>
        <w:widowControl w:val="0"/>
        <w:kinsoku/>
        <w:wordWrap/>
        <w:overflowPunct/>
        <w:topLinePunct w:val="0"/>
        <w:autoSpaceDE/>
        <w:autoSpaceDN/>
        <w:bidi w:val="0"/>
        <w:adjustRightInd/>
        <w:spacing w:before="0" w:beforeLines="0" w:after="0" w:afterLines="0" w:line="579" w:lineRule="exact"/>
        <w:ind w:left="198" w:leftChars="0" w:firstLineChars="0"/>
        <w:textAlignment w:val="auto"/>
        <w:rPr>
          <w:rFonts w:hint="eastAsia"/>
          <w:b w:val="0"/>
          <w:bCs w:val="0"/>
          <w:sz w:val="32"/>
          <w:szCs w:val="32"/>
          <w:u w:val="none"/>
        </w:rPr>
      </w:pPr>
      <w:bookmarkStart w:id="86" w:name="_Toc19703"/>
      <w:bookmarkStart w:id="87" w:name="_Toc130822984"/>
      <w:r>
        <w:rPr>
          <w:rFonts w:hint="eastAsia"/>
          <w:b w:val="0"/>
          <w:bCs w:val="0"/>
          <w:sz w:val="32"/>
          <w:szCs w:val="32"/>
          <w:u w:val="none"/>
        </w:rPr>
        <w:t>严守工业用地控制线</w:t>
      </w:r>
      <w:bookmarkEnd w:id="86"/>
      <w:bookmarkEnd w:id="87"/>
    </w:p>
    <w:p>
      <w:pPr>
        <w:keepNext w:val="0"/>
        <w:keepLines w:val="0"/>
        <w:pageBreakBefore w:val="0"/>
        <w:widowControl w:val="0"/>
        <w:kinsoku/>
        <w:wordWrap/>
        <w:overflowPunct/>
        <w:topLinePunct w:val="0"/>
        <w:autoSpaceDE/>
        <w:autoSpaceDN/>
        <w:bidi w:val="0"/>
        <w:adjustRightIn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保障工业空间和用地需求。遵循总量控制、严守底线、分类定策、提质增效的原则，划定不少于规划建设用地总面积</w:t>
      </w:r>
      <w:r>
        <w:rPr>
          <w:b w:val="0"/>
          <w:bCs w:val="0"/>
          <w:sz w:val="32"/>
          <w:szCs w:val="32"/>
          <w:u w:val="none"/>
        </w:rPr>
        <w:t>30</w:t>
      </w:r>
      <w:r>
        <w:rPr>
          <w:rFonts w:ascii="仿宋_GB2312"/>
          <w:b w:val="0"/>
          <w:bCs w:val="0"/>
          <w:sz w:val="32"/>
          <w:szCs w:val="32"/>
          <w:u w:val="none"/>
        </w:rPr>
        <w:t>%</w:t>
      </w:r>
      <w:r>
        <w:rPr>
          <w:rFonts w:hint="eastAsia" w:ascii="仿宋_GB2312"/>
          <w:b w:val="0"/>
          <w:bCs w:val="0"/>
          <w:sz w:val="32"/>
          <w:szCs w:val="32"/>
          <w:u w:val="none"/>
        </w:rPr>
        <w:t>的工业用地控制线。</w:t>
      </w:r>
    </w:p>
    <w:p>
      <w:pPr>
        <w:keepNext w:val="0"/>
        <w:keepLines w:val="0"/>
        <w:pageBreakBefore w:val="0"/>
        <w:widowControl w:val="0"/>
        <w:kinsoku/>
        <w:wordWrap/>
        <w:overflowPunct/>
        <w:topLinePunct w:val="0"/>
        <w:autoSpaceDE/>
        <w:autoSpaceDN/>
        <w:bidi w:val="0"/>
        <w:adjustRightIn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分级管控工业用地。工业用地控制线分为一级控制线和二级控制线两级管控。</w:t>
      </w:r>
    </w:p>
    <w:p>
      <w:pPr>
        <w:keepNext w:val="0"/>
        <w:keepLines w:val="0"/>
        <w:pageBreakBefore w:val="0"/>
        <w:widowControl w:val="0"/>
        <w:kinsoku/>
        <w:wordWrap/>
        <w:overflowPunct/>
        <w:topLinePunct w:val="0"/>
        <w:autoSpaceDE/>
        <w:autoSpaceDN/>
        <w:bidi w:val="0"/>
        <w:adjustRightInd/>
        <w:spacing w:line="579" w:lineRule="exact"/>
        <w:ind w:firstLine="602"/>
        <w:textAlignment w:val="auto"/>
        <w:rPr>
          <w:rFonts w:hint="eastAsia"/>
          <w:b w:val="0"/>
          <w:bCs w:val="0"/>
          <w:sz w:val="32"/>
          <w:szCs w:val="32"/>
          <w:u w:val="none"/>
        </w:rPr>
      </w:pPr>
      <w:r>
        <w:rPr>
          <w:rFonts w:hint="eastAsia" w:ascii="仿宋_GB2312"/>
          <w:b w:val="0"/>
          <w:bCs w:val="0"/>
          <w:sz w:val="32"/>
          <w:szCs w:val="32"/>
          <w:u w:val="none"/>
        </w:rPr>
        <w:t>严格保护工业用地。除《珠海经济特区工业用地控制线管理规定》确定的特定情形外，不得改变土地用途或者调出控制线区域范围。依托珠海市工业用地控制线“一张图”系统，市级统筹、有序调整、保障合理的工业用地总量。对一级控制线进行调整的，应当做到规模总量占补平衡、用地质量提升，详见专栏</w:t>
      </w:r>
      <w:r>
        <w:rPr>
          <w:b w:val="0"/>
          <w:bCs w:val="0"/>
          <w:sz w:val="32"/>
          <w:szCs w:val="32"/>
          <w:u w:val="none"/>
        </w:rPr>
        <w:t>7</w:t>
      </w:r>
      <w:r>
        <w:rPr>
          <w:rFonts w:ascii="仿宋_GB2312"/>
          <w:b w:val="0"/>
          <w:bCs w:val="0"/>
          <w:sz w:val="32"/>
          <w:szCs w:val="32"/>
          <w:u w:val="none"/>
        </w:rPr>
        <w:t>-</w:t>
      </w:r>
      <w:r>
        <w:rPr>
          <w:b w:val="0"/>
          <w:bCs w:val="0"/>
          <w:sz w:val="32"/>
          <w:szCs w:val="32"/>
          <w:u w:val="none"/>
        </w:rPr>
        <w:t>3</w:t>
      </w:r>
      <w:r>
        <w:rPr>
          <w:rFonts w:hint="eastAsia" w:ascii="仿宋_GB2312"/>
          <w:b w:val="0"/>
          <w:bCs w:val="0"/>
          <w:sz w:val="32"/>
          <w:szCs w:val="32"/>
          <w:u w:val="none"/>
        </w:rPr>
        <w:t>。</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7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467" w:hRule="atLeast"/>
        </w:trPr>
        <w:tc>
          <w:tcPr>
            <w:tcW w:w="9288" w:type="dxa"/>
            <w:gridSpan w:val="2"/>
            <w:shd w:val="clear" w:color="auto" w:fill="D9D9D9"/>
            <w:noWrap w:val="0"/>
            <w:vAlign w:val="center"/>
          </w:tcPr>
          <w:p>
            <w:pPr>
              <w:spacing w:before="46" w:after="46"/>
              <w:ind w:firstLine="0" w:firstLineChars="0"/>
              <w:jc w:val="center"/>
              <w:rPr>
                <w:rFonts w:hint="eastAsia" w:eastAsia="黑体" w:cs="Times New Roman"/>
                <w:b w:val="0"/>
                <w:bCs w:val="0"/>
                <w:kern w:val="0"/>
                <w:sz w:val="32"/>
                <w:szCs w:val="32"/>
                <w:u w:val="none"/>
              </w:rPr>
            </w:pPr>
            <w:r>
              <w:rPr>
                <w:rFonts w:eastAsia="黑体" w:cs="Times New Roman"/>
                <w:b w:val="0"/>
                <w:bCs w:val="0"/>
                <w:kern w:val="0"/>
                <w:sz w:val="32"/>
                <w:szCs w:val="32"/>
                <w:u w:val="none"/>
              </w:rPr>
              <w:t xml:space="preserve">专栏7-3： </w:t>
            </w:r>
            <w:r>
              <w:rPr>
                <w:rFonts w:hint="eastAsia" w:eastAsia="黑体" w:cs="Times New Roman"/>
                <w:b w:val="0"/>
                <w:bCs w:val="0"/>
                <w:kern w:val="0"/>
                <w:sz w:val="32"/>
                <w:szCs w:val="32"/>
                <w:u w:val="none"/>
              </w:rPr>
              <w:t>工业用地</w:t>
            </w:r>
            <w:r>
              <w:rPr>
                <w:rFonts w:eastAsia="黑体" w:cs="Times New Roman"/>
                <w:b w:val="0"/>
                <w:bCs w:val="0"/>
                <w:kern w:val="0"/>
                <w:sz w:val="32"/>
                <w:szCs w:val="32"/>
                <w:u w:val="none"/>
              </w:rPr>
              <w:t>控制线分级划定</w:t>
            </w:r>
            <w:r>
              <w:rPr>
                <w:rFonts w:hint="eastAsia" w:eastAsia="黑体" w:cs="Times New Roman"/>
                <w:b w:val="0"/>
                <w:bCs w:val="0"/>
                <w:kern w:val="0"/>
                <w:sz w:val="32"/>
                <w:szCs w:val="32"/>
                <w:u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67" w:hRule="atLeast"/>
        </w:trPr>
        <w:tc>
          <w:tcPr>
            <w:tcW w:w="1819" w:type="dxa"/>
            <w:noWrap w:val="0"/>
            <w:vAlign w:val="center"/>
          </w:tcPr>
          <w:p>
            <w:pPr>
              <w:pStyle w:val="8"/>
              <w:rPr>
                <w:b w:val="0"/>
                <w:bCs w:val="0"/>
                <w:sz w:val="28"/>
                <w:szCs w:val="28"/>
                <w:u w:val="none"/>
              </w:rPr>
            </w:pPr>
            <w:r>
              <w:rPr>
                <w:rFonts w:hint="eastAsia"/>
                <w:b w:val="0"/>
                <w:bCs w:val="0"/>
                <w:sz w:val="28"/>
                <w:szCs w:val="28"/>
                <w:u w:val="none"/>
              </w:rPr>
              <w:t>控制线分级</w:t>
            </w:r>
          </w:p>
        </w:tc>
        <w:tc>
          <w:tcPr>
            <w:tcW w:w="7469" w:type="dxa"/>
            <w:noWrap w:val="0"/>
            <w:vAlign w:val="center"/>
          </w:tcPr>
          <w:p>
            <w:pPr>
              <w:pStyle w:val="8"/>
              <w:rPr>
                <w:rFonts w:hint="eastAsia"/>
                <w:b w:val="0"/>
                <w:bCs w:val="0"/>
                <w:sz w:val="28"/>
                <w:szCs w:val="28"/>
                <w:u w:val="none"/>
              </w:rPr>
            </w:pPr>
            <w:r>
              <w:rPr>
                <w:rFonts w:hint="eastAsia"/>
                <w:b w:val="0"/>
                <w:bCs w:val="0"/>
                <w:sz w:val="28"/>
                <w:szCs w:val="28"/>
                <w:u w:val="none"/>
              </w:rPr>
              <w:t>划定内容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32" w:hRule="atLeast"/>
        </w:trPr>
        <w:tc>
          <w:tcPr>
            <w:tcW w:w="1819" w:type="dxa"/>
            <w:noWrap w:val="0"/>
            <w:vAlign w:val="center"/>
          </w:tcPr>
          <w:p>
            <w:pPr>
              <w:pStyle w:val="8"/>
              <w:rPr>
                <w:b w:val="0"/>
                <w:bCs w:val="0"/>
                <w:sz w:val="28"/>
                <w:szCs w:val="28"/>
                <w:u w:val="none"/>
              </w:rPr>
            </w:pPr>
            <w:r>
              <w:rPr>
                <w:rFonts w:hint="eastAsia"/>
                <w:b w:val="0"/>
                <w:bCs w:val="0"/>
                <w:sz w:val="28"/>
                <w:szCs w:val="28"/>
                <w:u w:val="none"/>
              </w:rPr>
              <w:t>一级控制线</w:t>
            </w:r>
          </w:p>
        </w:tc>
        <w:tc>
          <w:tcPr>
            <w:tcW w:w="7469" w:type="dxa"/>
            <w:noWrap w:val="0"/>
            <w:vAlign w:val="center"/>
          </w:tcPr>
          <w:p>
            <w:pPr>
              <w:pStyle w:val="61"/>
              <w:ind w:firstLine="480"/>
              <w:rPr>
                <w:b w:val="0"/>
                <w:bCs w:val="0"/>
                <w:sz w:val="28"/>
                <w:szCs w:val="28"/>
                <w:u w:val="none"/>
              </w:rPr>
            </w:pPr>
            <w:r>
              <w:rPr>
                <w:rFonts w:hint="eastAsia"/>
                <w:b w:val="0"/>
                <w:bCs w:val="0"/>
                <w:sz w:val="28"/>
                <w:szCs w:val="28"/>
                <w:u w:val="none"/>
              </w:rPr>
              <w:t>符合本规划的工业用地范围线，包括已供应工业用地以及规划新增工业用地中用于工业用途的土地。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08" w:hRule="atLeast"/>
        </w:trPr>
        <w:tc>
          <w:tcPr>
            <w:tcW w:w="1819" w:type="dxa"/>
            <w:noWrap w:val="0"/>
            <w:vAlign w:val="center"/>
          </w:tcPr>
          <w:p>
            <w:pPr>
              <w:pStyle w:val="8"/>
              <w:rPr>
                <w:b w:val="0"/>
                <w:bCs w:val="0"/>
                <w:sz w:val="28"/>
                <w:szCs w:val="28"/>
                <w:u w:val="none"/>
              </w:rPr>
            </w:pPr>
            <w:r>
              <w:rPr>
                <w:rFonts w:hint="eastAsia"/>
                <w:b w:val="0"/>
                <w:bCs w:val="0"/>
                <w:sz w:val="28"/>
                <w:szCs w:val="28"/>
                <w:u w:val="none"/>
              </w:rPr>
              <w:t>二级控制线</w:t>
            </w:r>
          </w:p>
        </w:tc>
        <w:tc>
          <w:tcPr>
            <w:tcW w:w="7469" w:type="dxa"/>
            <w:noWrap w:val="0"/>
            <w:vAlign w:val="center"/>
          </w:tcPr>
          <w:p>
            <w:pPr>
              <w:pStyle w:val="61"/>
              <w:ind w:firstLine="480"/>
              <w:rPr>
                <w:b w:val="0"/>
                <w:bCs w:val="0"/>
                <w:sz w:val="28"/>
                <w:szCs w:val="28"/>
                <w:u w:val="none"/>
              </w:rPr>
            </w:pPr>
            <w:r>
              <w:rPr>
                <w:rFonts w:hint="eastAsia"/>
                <w:b w:val="0"/>
                <w:bCs w:val="0"/>
                <w:sz w:val="28"/>
                <w:szCs w:val="28"/>
                <w:u w:val="none"/>
              </w:rPr>
              <w:t>以工业为主导功能的区域范围线，包括珠海市所有已供应工业用地，符合本规划、未供应的新增工业用地，为工业园区配套的公共服务、市政公用、环保、道路交通设施、绿地与广场用地等。</w:t>
            </w:r>
          </w:p>
        </w:tc>
      </w:tr>
    </w:tbl>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lang w:val="en-US"/>
        </w:rPr>
      </w:pPr>
      <w:bookmarkStart w:id="88" w:name="_Toc130822983"/>
      <w:bookmarkStart w:id="89" w:name="_Toc10796"/>
      <w:r>
        <w:rPr>
          <w:rFonts w:hint="eastAsia"/>
          <w:b w:val="0"/>
          <w:bCs w:val="0"/>
          <w:sz w:val="32"/>
          <w:szCs w:val="32"/>
          <w:u w:val="none"/>
          <w:lang w:val="en-US"/>
        </w:rPr>
        <w:t>优化产业空间资源配置</w:t>
      </w:r>
      <w:bookmarkEnd w:id="88"/>
      <w:bookmarkEnd w:id="89"/>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严格实行“净地”供应，实现“交地即开工”。推行工业用地“标准地”供应、“带项目”供应，探索“国有</w:t>
      </w:r>
      <w:r>
        <w:rPr>
          <w:rFonts w:ascii="仿宋_GB2312"/>
          <w:b w:val="0"/>
          <w:bCs w:val="0"/>
          <w:sz w:val="32"/>
          <w:szCs w:val="32"/>
          <w:u w:val="none"/>
        </w:rPr>
        <w:t>+</w:t>
      </w:r>
      <w:r>
        <w:rPr>
          <w:rFonts w:hint="eastAsia" w:ascii="仿宋_GB2312"/>
          <w:b w:val="0"/>
          <w:bCs w:val="0"/>
          <w:sz w:val="32"/>
          <w:szCs w:val="32"/>
          <w:u w:val="none"/>
        </w:rPr>
        <w:t>集体”“出让</w:t>
      </w:r>
      <w:r>
        <w:rPr>
          <w:rFonts w:ascii="仿宋_GB2312"/>
          <w:b w:val="0"/>
          <w:bCs w:val="0"/>
          <w:sz w:val="32"/>
          <w:szCs w:val="32"/>
          <w:u w:val="none"/>
        </w:rPr>
        <w:t>+</w:t>
      </w:r>
      <w:r>
        <w:rPr>
          <w:rFonts w:hint="eastAsia" w:ascii="仿宋_GB2312"/>
          <w:b w:val="0"/>
          <w:bCs w:val="0"/>
          <w:sz w:val="32"/>
          <w:szCs w:val="32"/>
          <w:u w:val="none"/>
        </w:rPr>
        <w:t>租赁”“工业用途</w:t>
      </w:r>
      <w:r>
        <w:rPr>
          <w:rFonts w:ascii="仿宋_GB2312"/>
          <w:b w:val="0"/>
          <w:bCs w:val="0"/>
          <w:sz w:val="32"/>
          <w:szCs w:val="32"/>
          <w:u w:val="none"/>
        </w:rPr>
        <w:t>+</w:t>
      </w:r>
      <w:r>
        <w:rPr>
          <w:rFonts w:hint="eastAsia" w:ascii="仿宋_GB2312"/>
          <w:b w:val="0"/>
          <w:bCs w:val="0"/>
          <w:sz w:val="32"/>
          <w:szCs w:val="32"/>
          <w:u w:val="none"/>
        </w:rPr>
        <w:t>其他产业用途（不包括商品住宅）”的土地混合供应方式。实行弹性年期出让，鼓励新增工业用地建设使用标准厂房，实行“亩产论英雄”，提高土地利用效率，推动工业用地集约发展。排放大气污染物的工业项目尽可能布局在最大风频的下风向。</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开展“节地提质”攻坚，积极盘活批而未供、供而未建、竣工违约、旧厂房等低效存量工业用地，健全完善低效项目转型退出机制。推动企业引入先进产业、转型升级、增资扩产，促进低效土地资源释出，提升节约集约用地水平，释放优质产业发展空间。</w:t>
      </w:r>
    </w:p>
    <w:p>
      <w:pPr>
        <w:pStyle w:val="81"/>
        <w:keepNext w:val="0"/>
        <w:keepLines w:val="0"/>
        <w:pageBreakBefore w:val="0"/>
        <w:widowControl w:val="0"/>
        <w:numPr>
          <w:ilvl w:val="0"/>
          <w:numId w:val="8"/>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90" w:name="_Toc7505"/>
      <w:r>
        <w:rPr>
          <w:rFonts w:hint="eastAsia"/>
          <w:b w:val="0"/>
          <w:bCs w:val="0"/>
          <w:sz w:val="32"/>
          <w:szCs w:val="32"/>
          <w:u w:val="none"/>
        </w:rPr>
        <w:t>人口分布和城镇建设用地结构</w:t>
      </w:r>
      <w:bookmarkEnd w:id="90"/>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91" w:name="_Toc19909"/>
      <w:r>
        <w:rPr>
          <w:rFonts w:hint="eastAsia"/>
          <w:b w:val="0"/>
          <w:bCs w:val="0"/>
          <w:sz w:val="32"/>
          <w:szCs w:val="32"/>
          <w:u w:val="none"/>
          <w:lang w:val="en-US"/>
        </w:rPr>
        <w:t>引导人口合理分布</w:t>
      </w:r>
      <w:bookmarkEnd w:id="91"/>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以“三度三线”立体管控为核心，推动“城市-片区-基本城市组团-邻里”四级空间架构人口合理分布，通过城镇空间集约发展、连片开发，形成以东西部中心城区、横琴粤澳深度合作区和“洪保十”地区、未来科学城为核心的人口集聚区，其他外围产业组团产城融合引导人口集聚。</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控制东部中心城区人口规模、优化人口空间分布，引导人口向南湾、“洪保十”等基本城市组团集聚，控制香湾、梅华、吉大、拱北等基本城市组团人口增长。</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lang w:val="zh-CN"/>
        </w:rPr>
      </w:pPr>
      <w:r>
        <w:rPr>
          <w:rFonts w:hint="eastAsia" w:ascii="仿宋_GB2312"/>
          <w:b w:val="0"/>
          <w:bCs w:val="0"/>
          <w:sz w:val="32"/>
          <w:szCs w:val="32"/>
          <w:u w:val="none"/>
          <w:lang w:val="zh-CN"/>
        </w:rPr>
        <w:t>集聚资源引导人口向西部中心城区转移，重点推动西城中心、航空产业园、藤山红旗、三江六岸等基本城市组团人口的加快增长。</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cs="Times New Roman"/>
          <w:b w:val="0"/>
          <w:bCs w:val="0"/>
          <w:sz w:val="32"/>
          <w:szCs w:val="32"/>
          <w:u w:val="none"/>
        </w:rPr>
      </w:pPr>
      <w:r>
        <w:rPr>
          <w:rFonts w:hint="eastAsia" w:ascii="仿宋_GB2312"/>
          <w:b w:val="0"/>
          <w:bCs w:val="0"/>
          <w:sz w:val="32"/>
          <w:szCs w:val="32"/>
          <w:u w:val="none"/>
          <w:lang w:val="zh-CN"/>
        </w:rPr>
        <w:t>促进职住平衡，实现与产业发展水平相适应的人口稳步增长，主要集中在金鼎、新青、北站、虎山平沙、富山北、青湾、南水等基本城市组团</w:t>
      </w:r>
      <w:r>
        <w:rPr>
          <w:rFonts w:ascii="仿宋_GB2312" w:hAnsi="仿宋" w:cs="Times New Roman"/>
          <w:b w:val="0"/>
          <w:bCs w:val="0"/>
          <w:kern w:val="0"/>
          <w:sz w:val="32"/>
          <w:szCs w:val="32"/>
          <w:u w:val="none"/>
        </w:rPr>
        <w:t>。</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92" w:name="_Toc24627"/>
      <w:r>
        <w:rPr>
          <w:rFonts w:hint="eastAsia"/>
          <w:b w:val="0"/>
          <w:bCs w:val="0"/>
          <w:sz w:val="32"/>
          <w:szCs w:val="32"/>
          <w:u w:val="none"/>
          <w:lang w:val="en-US"/>
        </w:rPr>
        <w:t>调整城镇建设用地结构</w:t>
      </w:r>
      <w:bookmarkEnd w:id="92"/>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支撑“一主一副、一特一优、若干组团”的全域城镇空间格局，持续优化建设用地结构。</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ascii="仿宋_GB2312"/>
          <w:b w:val="0"/>
          <w:bCs w:val="0"/>
          <w:sz w:val="32"/>
          <w:szCs w:val="32"/>
          <w:u w:val="none"/>
        </w:rPr>
        <w:t>大力支持西部中心城区（</w:t>
      </w:r>
      <w:r>
        <w:rPr>
          <w:rFonts w:hint="eastAsia" w:ascii="仿宋_GB2312"/>
          <w:b w:val="0"/>
          <w:bCs w:val="0"/>
          <w:sz w:val="32"/>
          <w:szCs w:val="32"/>
          <w:u w:val="none"/>
        </w:rPr>
        <w:t>“</w:t>
      </w:r>
      <w:r>
        <w:rPr>
          <w:rFonts w:ascii="仿宋_GB2312"/>
          <w:b w:val="0"/>
          <w:bCs w:val="0"/>
          <w:sz w:val="32"/>
          <w:szCs w:val="32"/>
          <w:u w:val="none"/>
        </w:rPr>
        <w:t>一副</w:t>
      </w:r>
      <w:r>
        <w:rPr>
          <w:rFonts w:hint="eastAsia" w:ascii="仿宋_GB2312"/>
          <w:b w:val="0"/>
          <w:bCs w:val="0"/>
          <w:sz w:val="32"/>
          <w:szCs w:val="32"/>
          <w:u w:val="none"/>
        </w:rPr>
        <w:t>”</w:t>
      </w:r>
      <w:r>
        <w:rPr>
          <w:rFonts w:ascii="仿宋_GB2312"/>
          <w:b w:val="0"/>
          <w:bCs w:val="0"/>
          <w:sz w:val="32"/>
          <w:szCs w:val="32"/>
          <w:u w:val="none"/>
        </w:rPr>
        <w:t>）和未来科学城（</w:t>
      </w:r>
      <w:r>
        <w:rPr>
          <w:rFonts w:hint="eastAsia" w:ascii="仿宋_GB2312"/>
          <w:b w:val="0"/>
          <w:bCs w:val="0"/>
          <w:sz w:val="32"/>
          <w:szCs w:val="32"/>
          <w:u w:val="none"/>
        </w:rPr>
        <w:t>“</w:t>
      </w:r>
      <w:r>
        <w:rPr>
          <w:rFonts w:ascii="仿宋_GB2312"/>
          <w:b w:val="0"/>
          <w:bCs w:val="0"/>
          <w:sz w:val="32"/>
          <w:szCs w:val="32"/>
          <w:u w:val="none"/>
        </w:rPr>
        <w:t>一优</w:t>
      </w:r>
      <w:r>
        <w:rPr>
          <w:rFonts w:hint="eastAsia" w:ascii="仿宋_GB2312"/>
          <w:b w:val="0"/>
          <w:bCs w:val="0"/>
          <w:sz w:val="32"/>
          <w:szCs w:val="32"/>
          <w:u w:val="none"/>
        </w:rPr>
        <w:t>”</w:t>
      </w:r>
      <w:r>
        <w:rPr>
          <w:rFonts w:ascii="仿宋_GB2312"/>
          <w:b w:val="0"/>
          <w:bCs w:val="0"/>
          <w:sz w:val="32"/>
          <w:szCs w:val="32"/>
          <w:u w:val="none"/>
        </w:rPr>
        <w:t>）的建设，新增城镇建设用地优先保障西城中心、三江六岸、唐家组团以及保税区二期的需求，保障</w:t>
      </w:r>
      <w:r>
        <w:rPr>
          <w:rFonts w:hint="eastAsia" w:ascii="仿宋_GB2312"/>
          <w:b w:val="0"/>
          <w:bCs w:val="0"/>
          <w:sz w:val="32"/>
          <w:szCs w:val="32"/>
          <w:u w:val="none"/>
        </w:rPr>
        <w:t>东部</w:t>
      </w:r>
      <w:r>
        <w:rPr>
          <w:rFonts w:ascii="仿宋_GB2312"/>
          <w:b w:val="0"/>
          <w:bCs w:val="0"/>
          <w:sz w:val="32"/>
          <w:szCs w:val="32"/>
          <w:u w:val="none"/>
        </w:rPr>
        <w:t>中心城区（</w:t>
      </w:r>
      <w:r>
        <w:rPr>
          <w:rFonts w:hint="eastAsia" w:ascii="仿宋_GB2312"/>
          <w:b w:val="0"/>
          <w:bCs w:val="0"/>
          <w:sz w:val="32"/>
          <w:szCs w:val="32"/>
          <w:u w:val="none"/>
        </w:rPr>
        <w:t>“</w:t>
      </w:r>
      <w:r>
        <w:rPr>
          <w:rFonts w:ascii="仿宋_GB2312"/>
          <w:b w:val="0"/>
          <w:bCs w:val="0"/>
          <w:sz w:val="32"/>
          <w:szCs w:val="32"/>
          <w:u w:val="none"/>
        </w:rPr>
        <w:t>一主</w:t>
      </w:r>
      <w:r>
        <w:rPr>
          <w:rFonts w:hint="eastAsia" w:ascii="仿宋_GB2312"/>
          <w:b w:val="0"/>
          <w:bCs w:val="0"/>
          <w:sz w:val="32"/>
          <w:szCs w:val="32"/>
          <w:u w:val="none"/>
        </w:rPr>
        <w:t>”</w:t>
      </w:r>
      <w:r>
        <w:rPr>
          <w:rFonts w:ascii="仿宋_GB2312"/>
          <w:b w:val="0"/>
          <w:bCs w:val="0"/>
          <w:sz w:val="32"/>
          <w:szCs w:val="32"/>
          <w:u w:val="none"/>
        </w:rPr>
        <w:t>）的凤山、南湾、洪保十组团等重点基本城市组团中心和产业平台用地需要。</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新增城镇建设用地主要投放于工业仓储用地、交通运输用地、绿地与开敞空间用地、公共管理与公共服务用地。根据住房和商业办公空置率情况，结合人口变化的不同情景，通过土地供应计划控制用地供应节奏，降低居住用地和商业服务业用地比例。</w:t>
      </w:r>
    </w:p>
    <w:p>
      <w:pPr>
        <w:pStyle w:val="81"/>
        <w:keepNext w:val="0"/>
        <w:keepLines w:val="0"/>
        <w:pageBreakBefore w:val="0"/>
        <w:widowControl w:val="0"/>
        <w:numPr>
          <w:ilvl w:val="0"/>
          <w:numId w:val="8"/>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93" w:name="_Toc14647"/>
      <w:r>
        <w:rPr>
          <w:rFonts w:hint="eastAsia"/>
          <w:b w:val="0"/>
          <w:bCs w:val="0"/>
          <w:sz w:val="32"/>
          <w:szCs w:val="32"/>
          <w:u w:val="none"/>
        </w:rPr>
        <w:t>居住生活空间</w:t>
      </w:r>
      <w:bookmarkEnd w:id="93"/>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lang w:val="en-US"/>
        </w:rPr>
      </w:pPr>
      <w:bookmarkStart w:id="94" w:name="_Toc18993"/>
      <w:r>
        <w:rPr>
          <w:rFonts w:hint="eastAsia"/>
          <w:b w:val="0"/>
          <w:bCs w:val="0"/>
          <w:sz w:val="32"/>
          <w:szCs w:val="32"/>
          <w:u w:val="none"/>
          <w:lang w:val="en-US"/>
        </w:rPr>
        <w:t>明确住房供应目标</w:t>
      </w:r>
      <w:bookmarkEnd w:id="94"/>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cs="宋体"/>
          <w:b w:val="0"/>
          <w:bCs w:val="0"/>
          <w:kern w:val="0"/>
          <w:sz w:val="32"/>
          <w:szCs w:val="32"/>
          <w:u w:val="none"/>
        </w:rPr>
      </w:pPr>
      <w:r>
        <w:rPr>
          <w:rFonts w:hint="eastAsia" w:ascii="仿宋_GB2312" w:cs="宋体"/>
          <w:b w:val="0"/>
          <w:bCs w:val="0"/>
          <w:kern w:val="0"/>
          <w:sz w:val="32"/>
          <w:szCs w:val="32"/>
          <w:u w:val="none"/>
        </w:rPr>
        <w:t>以深化供给侧结构性改革为主线，结合资源承载能力、人口密度、开发强度、宜居水平，合理布局居住用地，实现“有业有住有家”。</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lang w:val="en-US"/>
        </w:rPr>
      </w:pPr>
      <w:bookmarkStart w:id="95" w:name="_Toc7267"/>
      <w:r>
        <w:rPr>
          <w:rFonts w:hint="eastAsia"/>
          <w:b w:val="0"/>
          <w:bCs w:val="0"/>
          <w:sz w:val="32"/>
          <w:szCs w:val="32"/>
          <w:u w:val="none"/>
          <w:lang w:val="en-US"/>
        </w:rPr>
        <w:t>优化住房供应体系</w:t>
      </w:r>
      <w:bookmarkEnd w:id="95"/>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cs="宋体"/>
          <w:b w:val="0"/>
          <w:bCs w:val="0"/>
          <w:kern w:val="0"/>
          <w:sz w:val="32"/>
          <w:szCs w:val="32"/>
          <w:u w:val="none"/>
        </w:rPr>
      </w:pPr>
      <w:r>
        <w:rPr>
          <w:rFonts w:hint="eastAsia" w:ascii="仿宋_GB2312" w:cs="宋体"/>
          <w:b w:val="0"/>
          <w:bCs w:val="0"/>
          <w:kern w:val="0"/>
          <w:sz w:val="32"/>
          <w:szCs w:val="32"/>
          <w:u w:val="none"/>
        </w:rPr>
        <w:t>加快建立多主体供给、多渠道保障、租购并举的住房制度，着力构建新型住房供应体系。逐步扩大公共租赁住房、保障性租赁住房、共有产权住房、人才住房等的供应比例，完善住房保障和人才安居体系，合理调整商品住房供应结构，增加高品质长租房供应，完善住房市场体系。</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cs="宋体"/>
          <w:b w:val="0"/>
          <w:bCs w:val="0"/>
          <w:kern w:val="0"/>
          <w:sz w:val="32"/>
          <w:szCs w:val="32"/>
          <w:u w:val="none"/>
        </w:rPr>
      </w:pPr>
      <w:r>
        <w:rPr>
          <w:rFonts w:hint="eastAsia" w:ascii="仿宋_GB2312" w:cs="宋体"/>
          <w:b w:val="0"/>
          <w:bCs w:val="0"/>
          <w:kern w:val="0"/>
          <w:sz w:val="32"/>
          <w:szCs w:val="32"/>
          <w:u w:val="none"/>
        </w:rPr>
        <w:t>大力推动保障性住房供给侧</w:t>
      </w:r>
      <w:r>
        <w:rPr>
          <w:rFonts w:hint="eastAsia" w:ascii="仿宋_GB2312" w:cs="宋体"/>
          <w:b w:val="0"/>
          <w:bCs w:val="0"/>
          <w:kern w:val="0"/>
          <w:sz w:val="32"/>
          <w:szCs w:val="32"/>
          <w:u w:val="none"/>
          <w:lang w:val="en-US" w:eastAsia="zh-CN"/>
        </w:rPr>
        <w:t>结构性</w:t>
      </w:r>
      <w:r>
        <w:rPr>
          <w:rFonts w:hint="eastAsia" w:ascii="仿宋_GB2312" w:cs="宋体"/>
          <w:b w:val="0"/>
          <w:bCs w:val="0"/>
          <w:kern w:val="0"/>
          <w:sz w:val="32"/>
          <w:szCs w:val="32"/>
          <w:u w:val="none"/>
        </w:rPr>
        <w:t>改革，增加保障性住房</w:t>
      </w:r>
      <w:r>
        <w:rPr>
          <w:rFonts w:hint="eastAsia" w:ascii="仿宋_GB2312"/>
          <w:b w:val="0"/>
          <w:bCs w:val="0"/>
          <w:sz w:val="32"/>
          <w:szCs w:val="32"/>
          <w:u w:val="none"/>
        </w:rPr>
        <w:t>供给</w:t>
      </w:r>
      <w:r>
        <w:rPr>
          <w:rFonts w:hint="eastAsia" w:ascii="仿宋_GB2312" w:cs="宋体"/>
          <w:b w:val="0"/>
          <w:bCs w:val="0"/>
          <w:kern w:val="0"/>
          <w:sz w:val="32"/>
          <w:szCs w:val="32"/>
          <w:u w:val="none"/>
        </w:rPr>
        <w:t>。优先保障保障性住房用地供应，通过盘活存量资源增加保障性住房供应，引导村集体和企事业单位利用自有用地建设保障性住房，鼓励通过租赁和购买等方式广泛筹集保障性住房。</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lang w:val="en-US"/>
        </w:rPr>
      </w:pPr>
      <w:bookmarkStart w:id="96" w:name="_Toc19158"/>
      <w:r>
        <w:rPr>
          <w:rFonts w:hint="eastAsia"/>
          <w:b w:val="0"/>
          <w:bCs w:val="0"/>
          <w:sz w:val="32"/>
          <w:szCs w:val="32"/>
          <w:u w:val="none"/>
          <w:lang w:val="en-US"/>
        </w:rPr>
        <w:t>精准投放新增居住空间</w:t>
      </w:r>
      <w:bookmarkEnd w:id="96"/>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cs="宋体"/>
          <w:b w:val="0"/>
          <w:bCs w:val="0"/>
          <w:kern w:val="0"/>
          <w:sz w:val="32"/>
          <w:szCs w:val="32"/>
          <w:u w:val="none"/>
        </w:rPr>
      </w:pPr>
      <w:r>
        <w:rPr>
          <w:rFonts w:hint="eastAsia" w:ascii="仿宋_GB2312" w:cs="宋体"/>
          <w:b w:val="0"/>
          <w:bCs w:val="0"/>
          <w:kern w:val="0"/>
          <w:sz w:val="32"/>
          <w:szCs w:val="32"/>
          <w:u w:val="none"/>
        </w:rPr>
        <w:t>充分结合</w:t>
      </w:r>
      <w:r>
        <w:rPr>
          <w:rFonts w:ascii="仿宋_GB2312" w:cs="宋体"/>
          <w:b w:val="0"/>
          <w:bCs w:val="0"/>
          <w:kern w:val="0"/>
          <w:sz w:val="32"/>
          <w:szCs w:val="32"/>
          <w:u w:val="none"/>
        </w:rPr>
        <w:t>住房</w:t>
      </w:r>
      <w:r>
        <w:rPr>
          <w:rFonts w:hint="eastAsia" w:ascii="仿宋_GB2312" w:cs="宋体"/>
          <w:b w:val="0"/>
          <w:bCs w:val="0"/>
          <w:kern w:val="0"/>
          <w:sz w:val="32"/>
          <w:szCs w:val="32"/>
          <w:u w:val="none"/>
        </w:rPr>
        <w:t>空置情况、就业空间和中心体系情况，以促进职住平衡为导向精准投放新增居住空间。对于东部中心城区建设较为成熟且公服设施压力较大的梅华-翠香、狮山-香湾等基本城市组团，原则上不再新增居住用地。对于已出让居住用地中未开发面积较大的井岸-白蕉、“洪保十”等基本城市组团，通过土地出让计划控制居住用地的供应节奏。位于西部中心城区的西城中心、新青、藤山等基本城市组团以及为大型产业园区配套的富山北等基本城市组团，重点投放新增居住用地，促进就业空间和居住空间紧密融合。</w:t>
      </w:r>
    </w:p>
    <w:p>
      <w:pPr>
        <w:pStyle w:val="81"/>
        <w:keepNext w:val="0"/>
        <w:keepLines w:val="0"/>
        <w:pageBreakBefore w:val="0"/>
        <w:widowControl w:val="0"/>
        <w:numPr>
          <w:ilvl w:val="0"/>
          <w:numId w:val="8"/>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97" w:name="_Toc29459"/>
      <w:r>
        <w:rPr>
          <w:rFonts w:hint="eastAsia"/>
          <w:b w:val="0"/>
          <w:bCs w:val="0"/>
          <w:sz w:val="32"/>
          <w:szCs w:val="32"/>
          <w:u w:val="none"/>
        </w:rPr>
        <w:t>公共服务体系</w:t>
      </w:r>
      <w:bookmarkEnd w:id="97"/>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98" w:name="_Toc14223"/>
      <w:r>
        <w:rPr>
          <w:rFonts w:hint="eastAsia"/>
          <w:b w:val="0"/>
          <w:bCs w:val="0"/>
          <w:sz w:val="32"/>
          <w:szCs w:val="32"/>
          <w:u w:val="none"/>
          <w:lang w:val="en-US"/>
        </w:rPr>
        <w:t>建立匹配四级架构的公共服务网络体系</w:t>
      </w:r>
      <w:bookmarkEnd w:id="98"/>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宋体"/>
          <w:b w:val="0"/>
          <w:bCs w:val="0"/>
          <w:kern w:val="0"/>
          <w:sz w:val="32"/>
          <w:szCs w:val="32"/>
          <w:u w:val="none"/>
        </w:rPr>
      </w:pPr>
      <w:r>
        <w:rPr>
          <w:rFonts w:hint="eastAsia" w:ascii="仿宋_GB2312"/>
          <w:b w:val="0"/>
          <w:bCs w:val="0"/>
          <w:sz w:val="32"/>
          <w:szCs w:val="32"/>
          <w:u w:val="none"/>
        </w:rPr>
        <w:t>全面对接港澳，构建全年龄、多层次、全覆盖的高质量公共服务设施网络体系。</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cs="Times New Roman"/>
          <w:b w:val="0"/>
          <w:bCs w:val="0"/>
          <w:sz w:val="32"/>
          <w:szCs w:val="32"/>
          <w:u w:val="none"/>
        </w:rPr>
      </w:pPr>
      <w:r>
        <w:rPr>
          <w:rFonts w:hint="eastAsia" w:ascii="仿宋_GB2312"/>
          <w:b w:val="0"/>
          <w:bCs w:val="0"/>
          <w:sz w:val="32"/>
          <w:szCs w:val="32"/>
          <w:u w:val="none"/>
        </w:rPr>
        <w:t>对应“城市-片区-基本城市组团-邻里”四级架构，合理配置文化、教育、体育、医疗卫生和社会福利设施。优化提升东部中心城区市级公共服务设施，规划新建西部中心城区市级公共服务设施。</w:t>
      </w:r>
      <w:r>
        <w:rPr>
          <w:rFonts w:hint="eastAsia" w:ascii="仿宋_GB2312" w:hAnsi="仿宋" w:cs="宋体"/>
          <w:b w:val="0"/>
          <w:bCs w:val="0"/>
          <w:sz w:val="32"/>
          <w:szCs w:val="32"/>
          <w:u w:val="none"/>
        </w:rPr>
        <w:t>提升香洲片区级公共服务设施，完善高新、金湾和斗门片区</w:t>
      </w:r>
      <w:r>
        <w:rPr>
          <w:rFonts w:hint="eastAsia" w:ascii="仿宋_GB2312"/>
          <w:b w:val="0"/>
          <w:bCs w:val="0"/>
          <w:sz w:val="32"/>
          <w:szCs w:val="32"/>
          <w:u w:val="none"/>
        </w:rPr>
        <w:t>级公共服务设施。基本城市组团按标准设置公共服务设施。完善邻里单元生活配套设施，构建十分钟社区生活圈。其中，片区级以下设施按照专栏</w:t>
      </w:r>
      <w:r>
        <w:rPr>
          <w:b w:val="0"/>
          <w:bCs w:val="0"/>
          <w:sz w:val="32"/>
          <w:szCs w:val="32"/>
          <w:u w:val="none"/>
        </w:rPr>
        <w:t>7</w:t>
      </w:r>
      <w:r>
        <w:rPr>
          <w:rFonts w:ascii="仿宋_GB2312"/>
          <w:b w:val="0"/>
          <w:bCs w:val="0"/>
          <w:sz w:val="32"/>
          <w:szCs w:val="32"/>
          <w:u w:val="none"/>
        </w:rPr>
        <w:t>-</w:t>
      </w:r>
      <w:r>
        <w:rPr>
          <w:b w:val="0"/>
          <w:bCs w:val="0"/>
          <w:sz w:val="32"/>
          <w:szCs w:val="32"/>
          <w:u w:val="none"/>
        </w:rPr>
        <w:t>4</w:t>
      </w:r>
      <w:r>
        <w:rPr>
          <w:rFonts w:ascii="仿宋_GB2312"/>
          <w:b w:val="0"/>
          <w:bCs w:val="0"/>
          <w:sz w:val="32"/>
          <w:szCs w:val="32"/>
          <w:u w:val="none"/>
        </w:rPr>
        <w:t>设置，在下层次规划中予以落实。</w:t>
      </w:r>
      <w:r>
        <w:rPr>
          <w:rFonts w:hint="eastAsia" w:ascii="仿宋_GB2312"/>
          <w:b w:val="0"/>
          <w:bCs w:val="0"/>
          <w:sz w:val="32"/>
          <w:szCs w:val="32"/>
          <w:u w:val="none"/>
        </w:rPr>
        <w:t>鼓励各级、各类公共服务设施立体复合与资源共享，推行综合开发，妥善处理公共服务设施与其他市政、交通等设施的邻避性与兼容性，提高土地集约节约利用效率</w:t>
      </w:r>
      <w:r>
        <w:rPr>
          <w:rFonts w:ascii="仿宋_GB2312" w:hAnsi="仿宋" w:cs="Times New Roman"/>
          <w:b w:val="0"/>
          <w:bCs w:val="0"/>
          <w:kern w:val="0"/>
          <w:sz w:val="32"/>
          <w:szCs w:val="32"/>
          <w:u w:val="none"/>
        </w:rPr>
        <w:t>。</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3015"/>
        <w:gridCol w:w="2278"/>
        <w:gridCol w:w="1179"/>
        <w:gridCol w:w="2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gridSpan w:val="5"/>
            <w:shd w:val="clear" w:color="auto" w:fill="D9D9D9"/>
            <w:noWrap w:val="0"/>
            <w:vAlign w:val="center"/>
          </w:tcPr>
          <w:p>
            <w:pPr>
              <w:spacing w:before="46" w:after="46"/>
              <w:ind w:firstLine="0" w:firstLineChars="0"/>
              <w:jc w:val="center"/>
              <w:rPr>
                <w:rFonts w:hint="eastAsia" w:eastAsia="黑体" w:cs="Times New Roman"/>
                <w:b w:val="0"/>
                <w:bCs w:val="0"/>
                <w:kern w:val="0"/>
                <w:u w:val="none"/>
              </w:rPr>
            </w:pPr>
            <w:bookmarkStart w:id="99" w:name="_Toc138061688"/>
            <w:r>
              <w:rPr>
                <w:rFonts w:eastAsia="黑体" w:cs="Times New Roman"/>
                <w:b w:val="0"/>
                <w:bCs w:val="0"/>
                <w:kern w:val="0"/>
                <w:u w:val="none"/>
              </w:rPr>
              <w:t>专栏7-4：</w:t>
            </w:r>
            <w:r>
              <w:rPr>
                <w:rFonts w:hint="eastAsia" w:eastAsia="黑体" w:cs="Times New Roman"/>
                <w:b w:val="0"/>
                <w:bCs w:val="0"/>
                <w:kern w:val="0"/>
                <w:u w:val="none"/>
              </w:rPr>
              <w:t xml:space="preserve"> </w:t>
            </w:r>
            <w:bookmarkEnd w:id="99"/>
            <w:r>
              <w:rPr>
                <w:rFonts w:hint="eastAsia" w:eastAsia="黑体" w:cs="Times New Roman"/>
                <w:b w:val="0"/>
                <w:bCs w:val="0"/>
                <w:kern w:val="0"/>
                <w:u w:val="none"/>
              </w:rPr>
              <w:t>四级公共服务设施体系配置标准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90" w:type="dxa"/>
            <w:noWrap w:val="0"/>
            <w:vAlign w:val="center"/>
          </w:tcPr>
          <w:p>
            <w:pPr>
              <w:pStyle w:val="8"/>
              <w:rPr>
                <w:b w:val="0"/>
                <w:bCs w:val="0"/>
                <w:u w:val="none"/>
              </w:rPr>
            </w:pPr>
            <w:r>
              <w:rPr>
                <w:rFonts w:hint="eastAsia"/>
                <w:b w:val="0"/>
                <w:bCs w:val="0"/>
                <w:u w:val="none"/>
              </w:rPr>
              <w:t>设施类型</w:t>
            </w:r>
          </w:p>
        </w:tc>
        <w:tc>
          <w:tcPr>
            <w:tcW w:w="3015" w:type="dxa"/>
            <w:noWrap w:val="0"/>
            <w:vAlign w:val="center"/>
          </w:tcPr>
          <w:p>
            <w:pPr>
              <w:pStyle w:val="8"/>
              <w:rPr>
                <w:rFonts w:hint="eastAsia"/>
                <w:b w:val="0"/>
                <w:bCs w:val="0"/>
                <w:u w:val="none"/>
              </w:rPr>
            </w:pPr>
            <w:r>
              <w:rPr>
                <w:rFonts w:hint="eastAsia"/>
                <w:b w:val="0"/>
                <w:bCs w:val="0"/>
                <w:u w:val="none"/>
              </w:rPr>
              <w:t>城市级</w:t>
            </w:r>
          </w:p>
        </w:tc>
        <w:tc>
          <w:tcPr>
            <w:tcW w:w="2278" w:type="dxa"/>
            <w:noWrap w:val="0"/>
            <w:vAlign w:val="center"/>
          </w:tcPr>
          <w:p>
            <w:pPr>
              <w:pStyle w:val="8"/>
              <w:rPr>
                <w:rFonts w:hint="eastAsia"/>
                <w:b w:val="0"/>
                <w:bCs w:val="0"/>
                <w:u w:val="none"/>
              </w:rPr>
            </w:pPr>
            <w:r>
              <w:rPr>
                <w:rFonts w:hint="eastAsia"/>
                <w:b w:val="0"/>
                <w:bCs w:val="0"/>
                <w:u w:val="none"/>
              </w:rPr>
              <w:t>片区级</w:t>
            </w:r>
          </w:p>
        </w:tc>
        <w:tc>
          <w:tcPr>
            <w:tcW w:w="1179" w:type="dxa"/>
            <w:noWrap w:val="0"/>
            <w:vAlign w:val="center"/>
          </w:tcPr>
          <w:p>
            <w:pPr>
              <w:pStyle w:val="8"/>
              <w:rPr>
                <w:rFonts w:hint="eastAsia"/>
                <w:b w:val="0"/>
                <w:bCs w:val="0"/>
                <w:u w:val="none"/>
              </w:rPr>
            </w:pPr>
            <w:r>
              <w:rPr>
                <w:rFonts w:hint="eastAsia"/>
                <w:b w:val="0"/>
                <w:bCs w:val="0"/>
                <w:u w:val="none"/>
              </w:rPr>
              <w:t>基本城市组团</w:t>
            </w:r>
          </w:p>
        </w:tc>
        <w:tc>
          <w:tcPr>
            <w:tcW w:w="2026" w:type="dxa"/>
            <w:noWrap w:val="0"/>
            <w:vAlign w:val="center"/>
          </w:tcPr>
          <w:p>
            <w:pPr>
              <w:pStyle w:val="8"/>
              <w:rPr>
                <w:b w:val="0"/>
                <w:bCs w:val="0"/>
                <w:u w:val="none"/>
              </w:rPr>
            </w:pPr>
            <w:r>
              <w:rPr>
                <w:rFonts w:hint="eastAsia"/>
                <w:b w:val="0"/>
                <w:bCs w:val="0"/>
                <w:u w:val="none"/>
              </w:rPr>
              <w:t>邻里单元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90" w:type="dxa"/>
            <w:noWrap w:val="0"/>
            <w:vAlign w:val="center"/>
          </w:tcPr>
          <w:p>
            <w:pPr>
              <w:pStyle w:val="8"/>
              <w:rPr>
                <w:b w:val="0"/>
                <w:bCs w:val="0"/>
                <w:u w:val="none"/>
              </w:rPr>
            </w:pPr>
            <w:r>
              <w:rPr>
                <w:rFonts w:hint="eastAsia"/>
                <w:b w:val="0"/>
                <w:bCs w:val="0"/>
                <w:u w:val="none"/>
              </w:rPr>
              <w:t>文化</w:t>
            </w:r>
          </w:p>
        </w:tc>
        <w:tc>
          <w:tcPr>
            <w:tcW w:w="3015" w:type="dxa"/>
            <w:noWrap w:val="0"/>
            <w:vAlign w:val="center"/>
          </w:tcPr>
          <w:p>
            <w:pPr>
              <w:pStyle w:val="8"/>
              <w:rPr>
                <w:rFonts w:hint="eastAsia"/>
                <w:b w:val="0"/>
                <w:bCs w:val="0"/>
                <w:u w:val="none"/>
              </w:rPr>
            </w:pPr>
            <w:r>
              <w:rPr>
                <w:rFonts w:hint="eastAsia"/>
                <w:b w:val="0"/>
                <w:bCs w:val="0"/>
                <w:u w:val="none"/>
              </w:rPr>
              <w:t>图书馆</w:t>
            </w:r>
            <w:r>
              <w:rPr>
                <w:rFonts w:hint="eastAsia"/>
                <w:b w:val="0"/>
                <w:bCs w:val="0"/>
                <w:u w:val="none"/>
                <w:vertAlign w:val="superscript"/>
              </w:rPr>
              <w:footnoteReference w:id="14"/>
            </w:r>
            <w:r>
              <w:rPr>
                <w:rFonts w:hint="eastAsia"/>
                <w:b w:val="0"/>
                <w:bCs w:val="0"/>
                <w:u w:val="none"/>
              </w:rPr>
              <w:t>*、博物馆*、科技馆*、文化馆*、档案馆*、纪念馆、美术馆、剧场、规划展览馆、青少年宫、妇女儿童活动中心、工人文化宫</w:t>
            </w:r>
          </w:p>
        </w:tc>
        <w:tc>
          <w:tcPr>
            <w:tcW w:w="2278" w:type="dxa"/>
            <w:noWrap w:val="0"/>
            <w:vAlign w:val="center"/>
          </w:tcPr>
          <w:p>
            <w:pPr>
              <w:pStyle w:val="8"/>
              <w:rPr>
                <w:rFonts w:hint="eastAsia"/>
                <w:b w:val="0"/>
                <w:bCs w:val="0"/>
                <w:u w:val="none"/>
              </w:rPr>
            </w:pPr>
            <w:r>
              <w:rPr>
                <w:rFonts w:hint="eastAsia"/>
                <w:b w:val="0"/>
                <w:bCs w:val="0"/>
                <w:u w:val="none"/>
              </w:rPr>
              <w:t>“三馆一中心”*（包括图书馆、博物馆、文化馆及青少年活动中心）</w:t>
            </w:r>
          </w:p>
        </w:tc>
        <w:tc>
          <w:tcPr>
            <w:tcW w:w="1179" w:type="dxa"/>
            <w:noWrap w:val="0"/>
            <w:vAlign w:val="center"/>
          </w:tcPr>
          <w:p>
            <w:pPr>
              <w:pStyle w:val="8"/>
              <w:rPr>
                <w:rFonts w:hint="eastAsia"/>
                <w:b w:val="0"/>
                <w:bCs w:val="0"/>
                <w:u w:val="none"/>
              </w:rPr>
            </w:pPr>
            <w:r>
              <w:rPr>
                <w:rFonts w:hint="eastAsia"/>
                <w:b w:val="0"/>
                <w:bCs w:val="0"/>
                <w:u w:val="none"/>
              </w:rPr>
              <w:t>市民艺术中心</w:t>
            </w:r>
          </w:p>
        </w:tc>
        <w:tc>
          <w:tcPr>
            <w:tcW w:w="2026" w:type="dxa"/>
            <w:noWrap w:val="0"/>
            <w:vAlign w:val="center"/>
          </w:tcPr>
          <w:p>
            <w:pPr>
              <w:pStyle w:val="8"/>
              <w:rPr>
                <w:b w:val="0"/>
                <w:bCs w:val="0"/>
                <w:u w:val="none"/>
              </w:rPr>
            </w:pPr>
            <w:r>
              <w:rPr>
                <w:rFonts w:hint="eastAsia"/>
                <w:b w:val="0"/>
                <w:bCs w:val="0"/>
                <w:u w:val="none"/>
              </w:rPr>
              <w:t>社区文化活动设施*（含青少年、老年活动空间和社区图书馆、自修室等）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90" w:type="dxa"/>
            <w:noWrap w:val="0"/>
            <w:vAlign w:val="center"/>
          </w:tcPr>
          <w:p>
            <w:pPr>
              <w:pStyle w:val="8"/>
              <w:rPr>
                <w:rFonts w:hint="eastAsia"/>
                <w:b w:val="0"/>
                <w:bCs w:val="0"/>
                <w:u w:val="none"/>
              </w:rPr>
            </w:pPr>
            <w:r>
              <w:rPr>
                <w:rFonts w:hint="eastAsia"/>
                <w:b w:val="0"/>
                <w:bCs w:val="0"/>
                <w:u w:val="none"/>
              </w:rPr>
              <w:t>教育</w:t>
            </w:r>
          </w:p>
        </w:tc>
        <w:tc>
          <w:tcPr>
            <w:tcW w:w="3015" w:type="dxa"/>
            <w:noWrap w:val="0"/>
            <w:vAlign w:val="center"/>
          </w:tcPr>
          <w:p>
            <w:pPr>
              <w:pStyle w:val="8"/>
              <w:rPr>
                <w:rFonts w:hint="eastAsia"/>
                <w:b w:val="0"/>
                <w:bCs w:val="0"/>
                <w:u w:val="none"/>
              </w:rPr>
            </w:pPr>
            <w:r>
              <w:rPr>
                <w:rFonts w:hint="eastAsia"/>
                <w:b w:val="0"/>
                <w:bCs w:val="0"/>
                <w:u w:val="none"/>
              </w:rPr>
              <w:t>高等教育设施*、特殊教育设施*</w:t>
            </w:r>
          </w:p>
        </w:tc>
        <w:tc>
          <w:tcPr>
            <w:tcW w:w="2278" w:type="dxa"/>
            <w:noWrap w:val="0"/>
            <w:vAlign w:val="center"/>
          </w:tcPr>
          <w:p>
            <w:pPr>
              <w:pStyle w:val="8"/>
              <w:rPr>
                <w:rFonts w:hint="eastAsia"/>
                <w:b w:val="0"/>
                <w:bCs w:val="0"/>
                <w:u w:val="none"/>
              </w:rPr>
            </w:pPr>
            <w:r>
              <w:rPr>
                <w:rFonts w:hint="eastAsia"/>
                <w:b w:val="0"/>
                <w:bCs w:val="0"/>
                <w:u w:val="none"/>
              </w:rPr>
              <w:t>特殊教育设施*</w:t>
            </w:r>
          </w:p>
        </w:tc>
        <w:tc>
          <w:tcPr>
            <w:tcW w:w="1179" w:type="dxa"/>
            <w:noWrap w:val="0"/>
            <w:vAlign w:val="center"/>
          </w:tcPr>
          <w:p>
            <w:pPr>
              <w:pStyle w:val="8"/>
              <w:rPr>
                <w:rFonts w:hint="eastAsia"/>
                <w:b w:val="0"/>
                <w:bCs w:val="0"/>
                <w:u w:val="none"/>
              </w:rPr>
            </w:pPr>
            <w:r>
              <w:rPr>
                <w:rFonts w:hint="eastAsia"/>
                <w:b w:val="0"/>
                <w:bCs w:val="0"/>
                <w:u w:val="none"/>
              </w:rPr>
              <w:t>普通高中/中等职业学校*</w:t>
            </w:r>
          </w:p>
        </w:tc>
        <w:tc>
          <w:tcPr>
            <w:tcW w:w="2026" w:type="dxa"/>
            <w:noWrap w:val="0"/>
            <w:vAlign w:val="center"/>
          </w:tcPr>
          <w:p>
            <w:pPr>
              <w:pStyle w:val="8"/>
              <w:rPr>
                <w:rFonts w:hint="eastAsia"/>
                <w:b w:val="0"/>
                <w:bCs w:val="0"/>
                <w:u w:val="none"/>
              </w:rPr>
            </w:pPr>
            <w:r>
              <w:rPr>
                <w:rFonts w:hint="eastAsia"/>
                <w:b w:val="0"/>
                <w:bCs w:val="0"/>
                <w:u w:val="none"/>
              </w:rPr>
              <w:t>初中*、小学*、幼儿园*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90" w:type="dxa"/>
            <w:noWrap w:val="0"/>
            <w:vAlign w:val="center"/>
          </w:tcPr>
          <w:p>
            <w:pPr>
              <w:pStyle w:val="8"/>
              <w:rPr>
                <w:b w:val="0"/>
                <w:bCs w:val="0"/>
                <w:u w:val="none"/>
              </w:rPr>
            </w:pPr>
            <w:r>
              <w:rPr>
                <w:rFonts w:hint="eastAsia"/>
                <w:b w:val="0"/>
                <w:bCs w:val="0"/>
                <w:u w:val="none"/>
              </w:rPr>
              <w:t>体育</w:t>
            </w:r>
          </w:p>
        </w:tc>
        <w:tc>
          <w:tcPr>
            <w:tcW w:w="3015" w:type="dxa"/>
            <w:noWrap w:val="0"/>
            <w:vAlign w:val="center"/>
          </w:tcPr>
          <w:p>
            <w:pPr>
              <w:pStyle w:val="8"/>
              <w:rPr>
                <w:rFonts w:hint="eastAsia"/>
                <w:b w:val="0"/>
                <w:bCs w:val="0"/>
                <w:u w:val="none"/>
              </w:rPr>
            </w:pPr>
            <w:r>
              <w:rPr>
                <w:rFonts w:hint="eastAsia"/>
                <w:b w:val="0"/>
                <w:bCs w:val="0"/>
                <w:u w:val="none"/>
              </w:rPr>
              <w:t>体育场馆*</w:t>
            </w:r>
          </w:p>
        </w:tc>
        <w:tc>
          <w:tcPr>
            <w:tcW w:w="2278" w:type="dxa"/>
            <w:noWrap w:val="0"/>
            <w:vAlign w:val="center"/>
          </w:tcPr>
          <w:p>
            <w:pPr>
              <w:pStyle w:val="8"/>
              <w:rPr>
                <w:rFonts w:hint="eastAsia"/>
                <w:b w:val="0"/>
                <w:bCs w:val="0"/>
                <w:u w:val="none"/>
              </w:rPr>
            </w:pPr>
            <w:r>
              <w:rPr>
                <w:rFonts w:hint="eastAsia"/>
                <w:b w:val="0"/>
                <w:bCs w:val="0"/>
                <w:u w:val="none"/>
              </w:rPr>
              <w:t>体育场馆*</w:t>
            </w:r>
          </w:p>
        </w:tc>
        <w:tc>
          <w:tcPr>
            <w:tcW w:w="1179" w:type="dxa"/>
            <w:noWrap w:val="0"/>
            <w:vAlign w:val="center"/>
          </w:tcPr>
          <w:p>
            <w:pPr>
              <w:pStyle w:val="8"/>
              <w:rPr>
                <w:rFonts w:hint="eastAsia"/>
                <w:b w:val="0"/>
                <w:bCs w:val="0"/>
                <w:u w:val="none"/>
              </w:rPr>
            </w:pPr>
            <w:r>
              <w:rPr>
                <w:rFonts w:hint="eastAsia"/>
                <w:b w:val="0"/>
                <w:bCs w:val="0"/>
                <w:u w:val="none"/>
              </w:rPr>
              <w:t>--</w:t>
            </w:r>
          </w:p>
        </w:tc>
        <w:tc>
          <w:tcPr>
            <w:tcW w:w="2026" w:type="dxa"/>
            <w:noWrap w:val="0"/>
            <w:vAlign w:val="center"/>
          </w:tcPr>
          <w:p>
            <w:pPr>
              <w:pStyle w:val="8"/>
              <w:rPr>
                <w:b w:val="0"/>
                <w:bCs w:val="0"/>
                <w:u w:val="none"/>
              </w:rPr>
            </w:pPr>
            <w:r>
              <w:rPr>
                <w:rFonts w:hint="eastAsia"/>
                <w:b w:val="0"/>
                <w:bCs w:val="0"/>
                <w:u w:val="none"/>
              </w:rPr>
              <w:t>社区体育公园*、全民健身活动设施*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90" w:type="dxa"/>
            <w:noWrap w:val="0"/>
            <w:vAlign w:val="center"/>
          </w:tcPr>
          <w:p>
            <w:pPr>
              <w:pStyle w:val="8"/>
              <w:rPr>
                <w:b w:val="0"/>
                <w:bCs w:val="0"/>
                <w:u w:val="none"/>
              </w:rPr>
            </w:pPr>
            <w:r>
              <w:rPr>
                <w:rFonts w:hint="eastAsia"/>
                <w:b w:val="0"/>
                <w:bCs w:val="0"/>
                <w:u w:val="none"/>
              </w:rPr>
              <w:t>医疗卫生</w:t>
            </w:r>
          </w:p>
        </w:tc>
        <w:tc>
          <w:tcPr>
            <w:tcW w:w="3015" w:type="dxa"/>
            <w:noWrap w:val="0"/>
            <w:vAlign w:val="center"/>
          </w:tcPr>
          <w:p>
            <w:pPr>
              <w:pStyle w:val="8"/>
              <w:rPr>
                <w:rFonts w:hint="eastAsia"/>
                <w:b w:val="0"/>
                <w:bCs w:val="0"/>
                <w:u w:val="none"/>
              </w:rPr>
            </w:pPr>
            <w:r>
              <w:rPr>
                <w:rFonts w:hint="eastAsia"/>
                <w:b w:val="0"/>
                <w:bCs w:val="0"/>
                <w:u w:val="none"/>
              </w:rPr>
              <w:t>综合医院*、专科医院*、中医院*、妇幼保健医院*、疾病预防控制设施*、中心血站*</w:t>
            </w:r>
          </w:p>
        </w:tc>
        <w:tc>
          <w:tcPr>
            <w:tcW w:w="2278" w:type="dxa"/>
            <w:noWrap w:val="0"/>
            <w:vAlign w:val="center"/>
          </w:tcPr>
          <w:p>
            <w:pPr>
              <w:pStyle w:val="8"/>
              <w:rPr>
                <w:rFonts w:hint="eastAsia"/>
                <w:b w:val="0"/>
                <w:bCs w:val="0"/>
                <w:u w:val="none"/>
              </w:rPr>
            </w:pPr>
            <w:r>
              <w:rPr>
                <w:rFonts w:hint="eastAsia"/>
                <w:b w:val="0"/>
                <w:bCs w:val="0"/>
                <w:u w:val="none"/>
              </w:rPr>
              <w:t>综合医院*、妇幼保健医院*、疾病预防控制设施*</w:t>
            </w:r>
          </w:p>
        </w:tc>
        <w:tc>
          <w:tcPr>
            <w:tcW w:w="1179" w:type="dxa"/>
            <w:noWrap w:val="0"/>
            <w:vAlign w:val="center"/>
          </w:tcPr>
          <w:p>
            <w:pPr>
              <w:pStyle w:val="8"/>
              <w:rPr>
                <w:rFonts w:hint="eastAsia"/>
                <w:b w:val="0"/>
                <w:bCs w:val="0"/>
                <w:u w:val="none"/>
              </w:rPr>
            </w:pPr>
            <w:r>
              <w:rPr>
                <w:rFonts w:hint="eastAsia"/>
                <w:b w:val="0"/>
                <w:bCs w:val="0"/>
                <w:u w:val="none"/>
              </w:rPr>
              <w:t>综合医院*</w:t>
            </w:r>
          </w:p>
        </w:tc>
        <w:tc>
          <w:tcPr>
            <w:tcW w:w="2026" w:type="dxa"/>
            <w:noWrap w:val="0"/>
            <w:vAlign w:val="center"/>
          </w:tcPr>
          <w:p>
            <w:pPr>
              <w:pStyle w:val="8"/>
              <w:rPr>
                <w:b w:val="0"/>
                <w:bCs w:val="0"/>
                <w:u w:val="none"/>
              </w:rPr>
            </w:pPr>
            <w:r>
              <w:rPr>
                <w:rFonts w:hint="eastAsia"/>
                <w:b w:val="0"/>
                <w:bCs w:val="0"/>
                <w:u w:val="none"/>
              </w:rPr>
              <w:t>社区卫生服务设施*、婴幼儿照护设施*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90" w:type="dxa"/>
            <w:noWrap w:val="0"/>
            <w:vAlign w:val="center"/>
          </w:tcPr>
          <w:p>
            <w:pPr>
              <w:pStyle w:val="8"/>
              <w:rPr>
                <w:b w:val="0"/>
                <w:bCs w:val="0"/>
                <w:u w:val="none"/>
              </w:rPr>
            </w:pPr>
            <w:r>
              <w:rPr>
                <w:rFonts w:hint="eastAsia"/>
                <w:b w:val="0"/>
                <w:bCs w:val="0"/>
                <w:u w:val="none"/>
              </w:rPr>
              <w:t>社会福利</w:t>
            </w:r>
          </w:p>
        </w:tc>
        <w:tc>
          <w:tcPr>
            <w:tcW w:w="3015" w:type="dxa"/>
            <w:noWrap w:val="0"/>
            <w:vAlign w:val="center"/>
          </w:tcPr>
          <w:p>
            <w:pPr>
              <w:pStyle w:val="8"/>
              <w:rPr>
                <w:rFonts w:hint="eastAsia"/>
                <w:b w:val="0"/>
                <w:bCs w:val="0"/>
                <w:u w:val="none"/>
              </w:rPr>
            </w:pPr>
            <w:r>
              <w:rPr>
                <w:rFonts w:hint="eastAsia"/>
                <w:b w:val="0"/>
                <w:bCs w:val="0"/>
                <w:u w:val="none"/>
              </w:rPr>
              <w:t>养老设施*、残疾人服务设施*、救灾庇护设施*、儿童照顾设施*</w:t>
            </w:r>
          </w:p>
        </w:tc>
        <w:tc>
          <w:tcPr>
            <w:tcW w:w="2278" w:type="dxa"/>
            <w:noWrap w:val="0"/>
            <w:vAlign w:val="center"/>
          </w:tcPr>
          <w:p>
            <w:pPr>
              <w:pStyle w:val="8"/>
              <w:rPr>
                <w:rFonts w:hint="eastAsia"/>
                <w:b w:val="0"/>
                <w:bCs w:val="0"/>
                <w:u w:val="none"/>
              </w:rPr>
            </w:pPr>
            <w:r>
              <w:rPr>
                <w:rFonts w:hint="eastAsia"/>
                <w:b w:val="0"/>
                <w:bCs w:val="0"/>
                <w:u w:val="none"/>
              </w:rPr>
              <w:t>福利中心*（包括老年人、残疾人、儿童福利设施以及社会救助庇护设施，可根据实际情况合设或分设）</w:t>
            </w:r>
          </w:p>
        </w:tc>
        <w:tc>
          <w:tcPr>
            <w:tcW w:w="1179" w:type="dxa"/>
            <w:noWrap w:val="0"/>
            <w:vAlign w:val="center"/>
          </w:tcPr>
          <w:p>
            <w:pPr>
              <w:pStyle w:val="8"/>
              <w:rPr>
                <w:rFonts w:hint="eastAsia"/>
                <w:b w:val="0"/>
                <w:bCs w:val="0"/>
                <w:u w:val="none"/>
              </w:rPr>
            </w:pPr>
            <w:r>
              <w:rPr>
                <w:rFonts w:hint="eastAsia"/>
                <w:b w:val="0"/>
                <w:bCs w:val="0"/>
                <w:u w:val="none"/>
              </w:rPr>
              <w:t>--</w:t>
            </w:r>
          </w:p>
        </w:tc>
        <w:tc>
          <w:tcPr>
            <w:tcW w:w="2026" w:type="dxa"/>
            <w:noWrap w:val="0"/>
            <w:vAlign w:val="center"/>
          </w:tcPr>
          <w:p>
            <w:pPr>
              <w:pStyle w:val="8"/>
              <w:rPr>
                <w:b w:val="0"/>
                <w:bCs w:val="0"/>
                <w:u w:val="none"/>
              </w:rPr>
            </w:pPr>
            <w:r>
              <w:rPr>
                <w:rFonts w:hint="eastAsia"/>
                <w:b w:val="0"/>
                <w:bCs w:val="0"/>
                <w:u w:val="none"/>
              </w:rPr>
              <w:t>社区养老服务设施*</w:t>
            </w:r>
          </w:p>
        </w:tc>
      </w:tr>
    </w:tbl>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00" w:name="_Toc138942598"/>
      <w:bookmarkStart w:id="101" w:name="_Toc27322"/>
      <w:bookmarkStart w:id="102" w:name="_Toc120109648"/>
      <w:r>
        <w:rPr>
          <w:rFonts w:hint="eastAsia"/>
          <w:b w:val="0"/>
          <w:bCs w:val="0"/>
          <w:sz w:val="32"/>
          <w:szCs w:val="32"/>
          <w:u w:val="none"/>
          <w:lang w:val="en-US"/>
        </w:rPr>
        <w:t>构建时尚艺术的文化服务体系</w:t>
      </w:r>
      <w:bookmarkEnd w:id="100"/>
      <w:bookmarkEnd w:id="101"/>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cs="宋体"/>
          <w:b w:val="0"/>
          <w:bCs w:val="0"/>
          <w:kern w:val="0"/>
          <w:sz w:val="32"/>
          <w:szCs w:val="32"/>
          <w:u w:val="none"/>
        </w:rPr>
      </w:pPr>
      <w:r>
        <w:rPr>
          <w:rFonts w:hint="eastAsia" w:ascii="仿宋_GB2312" w:cs="宋体"/>
          <w:b w:val="0"/>
          <w:bCs w:val="0"/>
          <w:kern w:val="0"/>
          <w:sz w:val="32"/>
          <w:szCs w:val="32"/>
          <w:u w:val="none"/>
        </w:rPr>
        <w:t>健全文化设施体系，构建多层级、全覆盖、特色化的文化设施体系，加快文旅融合高质量发展。保留东部中心城区市图书馆、市档案馆等市级文化设施，新增西部中心城区市级文化设施，提升市级文化服务能力。高新、金湾和斗门设置片区级“三馆一中心”文化设施体系。彰显市规划展览馆、市博物馆、市歌剧院等周边情侣路滨海风光特色，打造情侣路沿线特色文化风貌空间；适当设置科技馆、美术馆、剧场、纪念馆等特色文化设施。</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03" w:name="_Toc26315"/>
      <w:bookmarkStart w:id="104" w:name="_Toc138942599"/>
      <w:r>
        <w:rPr>
          <w:rFonts w:hint="eastAsia"/>
          <w:b w:val="0"/>
          <w:bCs w:val="0"/>
          <w:sz w:val="32"/>
          <w:szCs w:val="32"/>
          <w:u w:val="none"/>
          <w:lang w:val="en-US"/>
        </w:rPr>
        <w:t>建立高质量的教育设施体系</w:t>
      </w:r>
      <w:bookmarkEnd w:id="103"/>
      <w:bookmarkEnd w:id="104"/>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cs="宋体"/>
          <w:b w:val="0"/>
          <w:bCs w:val="0"/>
          <w:kern w:val="0"/>
          <w:sz w:val="32"/>
          <w:szCs w:val="32"/>
          <w:u w:val="none"/>
        </w:rPr>
      </w:pPr>
      <w:r>
        <w:rPr>
          <w:rFonts w:hint="eastAsia" w:ascii="仿宋_GB2312" w:cs="宋体"/>
          <w:b w:val="0"/>
          <w:bCs w:val="0"/>
          <w:kern w:val="0"/>
          <w:sz w:val="32"/>
          <w:szCs w:val="32"/>
          <w:u w:val="none"/>
        </w:rPr>
        <w:t>高等教育。推进未来科学城高等教育园区建设，谋划预留高等教育及其国际交流与合作空间，助力推进在珠</w:t>
      </w:r>
      <w:r>
        <w:rPr>
          <w:rFonts w:hint="eastAsia" w:ascii="仿宋_GB2312"/>
          <w:b w:val="0"/>
          <w:bCs w:val="0"/>
          <w:sz w:val="32"/>
          <w:szCs w:val="32"/>
          <w:u w:val="none"/>
        </w:rPr>
        <w:t>高校</w:t>
      </w:r>
      <w:r>
        <w:rPr>
          <w:rFonts w:hint="eastAsia" w:ascii="仿宋_GB2312" w:cs="宋体"/>
          <w:b w:val="0"/>
          <w:bCs w:val="0"/>
          <w:kern w:val="0"/>
          <w:sz w:val="32"/>
          <w:szCs w:val="32"/>
          <w:u w:val="none"/>
        </w:rPr>
        <w:t>“双一流”建设。鼓励高校与创新产业平台合作，形成产学研融合互动发展模式。</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cs="宋体"/>
          <w:b w:val="0"/>
          <w:bCs w:val="0"/>
          <w:kern w:val="0"/>
          <w:sz w:val="32"/>
          <w:szCs w:val="32"/>
          <w:u w:val="none"/>
        </w:rPr>
      </w:pPr>
      <w:r>
        <w:rPr>
          <w:rFonts w:hint="eastAsia" w:ascii="仿宋_GB2312" w:cs="宋体"/>
          <w:b w:val="0"/>
          <w:bCs w:val="0"/>
          <w:kern w:val="0"/>
          <w:sz w:val="32"/>
          <w:szCs w:val="32"/>
          <w:u w:val="none"/>
        </w:rPr>
        <w:t>职业教育。优化中等职业学校空间布局，实施中职教育提升工程，支持与保障职业教育学校新建与扩建。促进职业教育供给与经济社会发展需求高度匹配，构建各类职业教育互相</w:t>
      </w:r>
      <w:r>
        <w:rPr>
          <w:rFonts w:hint="eastAsia" w:ascii="仿宋_GB2312"/>
          <w:b w:val="0"/>
          <w:bCs w:val="0"/>
          <w:sz w:val="32"/>
          <w:szCs w:val="32"/>
          <w:u w:val="none"/>
        </w:rPr>
        <w:t>支持</w:t>
      </w:r>
      <w:r>
        <w:rPr>
          <w:rFonts w:hint="eastAsia" w:ascii="仿宋_GB2312" w:cs="宋体"/>
          <w:b w:val="0"/>
          <w:bCs w:val="0"/>
          <w:kern w:val="0"/>
          <w:sz w:val="32"/>
          <w:szCs w:val="32"/>
          <w:u w:val="none"/>
        </w:rPr>
        <w:t>配合、紧密衔接的大职教格局，促进高质量职业教育服务产业发展。</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cs="宋体"/>
          <w:b w:val="0"/>
          <w:bCs w:val="0"/>
          <w:kern w:val="0"/>
          <w:sz w:val="32"/>
          <w:szCs w:val="32"/>
          <w:u w:val="none"/>
        </w:rPr>
      </w:pPr>
      <w:r>
        <w:rPr>
          <w:rFonts w:ascii="仿宋_GB2312" w:cs="宋体"/>
          <w:b w:val="0"/>
          <w:bCs w:val="0"/>
          <w:kern w:val="0"/>
          <w:sz w:val="32"/>
          <w:szCs w:val="32"/>
          <w:u w:val="none"/>
        </w:rPr>
        <w:t>普通高中。构筑普通高中优质、</w:t>
      </w:r>
      <w:r>
        <w:rPr>
          <w:rFonts w:hint="eastAsia" w:ascii="仿宋_GB2312"/>
          <w:b w:val="0"/>
          <w:bCs w:val="0"/>
          <w:sz w:val="32"/>
          <w:szCs w:val="32"/>
          <w:u w:val="none"/>
        </w:rPr>
        <w:t>特色</w:t>
      </w:r>
      <w:r>
        <w:rPr>
          <w:rFonts w:ascii="仿宋_GB2312" w:cs="宋体"/>
          <w:b w:val="0"/>
          <w:bCs w:val="0"/>
          <w:kern w:val="0"/>
          <w:sz w:val="32"/>
          <w:szCs w:val="32"/>
          <w:u w:val="none"/>
        </w:rPr>
        <w:t>、多样的发展格局。</w:t>
      </w:r>
      <w:r>
        <w:rPr>
          <w:rFonts w:hint="eastAsia" w:ascii="仿宋_GB2312" w:cs="宋体"/>
          <w:b w:val="0"/>
          <w:bCs w:val="0"/>
          <w:kern w:val="0"/>
          <w:sz w:val="32"/>
          <w:szCs w:val="32"/>
          <w:u w:val="none"/>
        </w:rPr>
        <w:t>每个基本城市组团应设置不少于</w:t>
      </w:r>
      <w:r>
        <w:rPr>
          <w:rFonts w:hint="eastAsia" w:cs="宋体"/>
          <w:b w:val="0"/>
          <w:bCs w:val="0"/>
          <w:kern w:val="0"/>
          <w:sz w:val="32"/>
          <w:szCs w:val="32"/>
          <w:u w:val="none"/>
        </w:rPr>
        <w:t>1</w:t>
      </w:r>
      <w:r>
        <w:rPr>
          <w:rFonts w:hint="eastAsia" w:ascii="仿宋_GB2312" w:cs="宋体"/>
          <w:b w:val="0"/>
          <w:bCs w:val="0"/>
          <w:kern w:val="0"/>
          <w:sz w:val="32"/>
          <w:szCs w:val="32"/>
          <w:u w:val="none"/>
        </w:rPr>
        <w:t>所高中阶段学校</w:t>
      </w:r>
      <w:r>
        <w:rPr>
          <w:rFonts w:ascii="仿宋_GB2312" w:cs="宋体"/>
          <w:b w:val="0"/>
          <w:bCs w:val="0"/>
          <w:kern w:val="0"/>
          <w:sz w:val="32"/>
          <w:szCs w:val="32"/>
          <w:u w:val="none"/>
        </w:rPr>
        <w:t>(普通高中或中等</w:t>
      </w:r>
      <w:r>
        <w:rPr>
          <w:rFonts w:hint="eastAsia" w:ascii="仿宋_GB2312" w:cs="宋体"/>
          <w:b w:val="0"/>
          <w:bCs w:val="0"/>
          <w:kern w:val="0"/>
          <w:sz w:val="32"/>
          <w:szCs w:val="32"/>
          <w:u w:val="none"/>
        </w:rPr>
        <w:t>职业</w:t>
      </w:r>
      <w:r>
        <w:rPr>
          <w:rFonts w:ascii="仿宋_GB2312" w:cs="宋体"/>
          <w:b w:val="0"/>
          <w:bCs w:val="0"/>
          <w:kern w:val="0"/>
          <w:sz w:val="32"/>
          <w:szCs w:val="32"/>
          <w:u w:val="none"/>
        </w:rPr>
        <w:t>学校)，</w:t>
      </w:r>
      <w:r>
        <w:rPr>
          <w:rFonts w:hint="eastAsia" w:ascii="仿宋_GB2312" w:cs="宋体"/>
          <w:b w:val="0"/>
          <w:bCs w:val="0"/>
          <w:kern w:val="0"/>
          <w:sz w:val="32"/>
          <w:szCs w:val="32"/>
          <w:u w:val="none"/>
        </w:rPr>
        <w:t>促进高中设施均衡布局，扩大高中学位供给。</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cs="宋体"/>
          <w:b w:val="0"/>
          <w:bCs w:val="0"/>
          <w:kern w:val="0"/>
          <w:sz w:val="32"/>
          <w:szCs w:val="32"/>
          <w:u w:val="none"/>
        </w:rPr>
      </w:pPr>
      <w:r>
        <w:rPr>
          <w:rFonts w:ascii="仿宋_GB2312" w:cs="宋体"/>
          <w:b w:val="0"/>
          <w:bCs w:val="0"/>
          <w:kern w:val="0"/>
          <w:sz w:val="32"/>
          <w:szCs w:val="32"/>
          <w:u w:val="none"/>
        </w:rPr>
        <w:t>义务教育</w:t>
      </w:r>
      <w:r>
        <w:rPr>
          <w:rFonts w:hint="eastAsia" w:ascii="仿宋_GB2312" w:cs="宋体"/>
          <w:b w:val="0"/>
          <w:bCs w:val="0"/>
          <w:kern w:val="0"/>
          <w:sz w:val="32"/>
          <w:szCs w:val="32"/>
          <w:u w:val="none"/>
        </w:rPr>
        <w:t>。引导小学、初中均衡布局，加大十分钟社区生活圈教育设施空间资源保障，</w:t>
      </w:r>
      <w:r>
        <w:rPr>
          <w:rFonts w:hint="eastAsia" w:ascii="仿宋_GB2312"/>
          <w:b w:val="0"/>
          <w:bCs w:val="0"/>
          <w:sz w:val="32"/>
          <w:szCs w:val="32"/>
          <w:u w:val="none"/>
        </w:rPr>
        <w:t>实现</w:t>
      </w:r>
      <w:r>
        <w:rPr>
          <w:rFonts w:hint="eastAsia" w:ascii="仿宋_GB2312" w:cs="宋体"/>
          <w:b w:val="0"/>
          <w:bCs w:val="0"/>
          <w:kern w:val="0"/>
          <w:sz w:val="32"/>
          <w:szCs w:val="32"/>
          <w:u w:val="none"/>
        </w:rPr>
        <w:t>学位供需平衡。推进义务教育资源城乡均衡配置，促进教育公平。</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cs="宋体"/>
          <w:b w:val="0"/>
          <w:bCs w:val="0"/>
          <w:kern w:val="0"/>
          <w:sz w:val="32"/>
          <w:szCs w:val="32"/>
          <w:u w:val="none"/>
        </w:rPr>
      </w:pPr>
      <w:r>
        <w:rPr>
          <w:rFonts w:ascii="仿宋_GB2312" w:cs="宋体"/>
          <w:b w:val="0"/>
          <w:bCs w:val="0"/>
          <w:kern w:val="0"/>
          <w:sz w:val="32"/>
          <w:szCs w:val="32"/>
          <w:u w:val="none"/>
        </w:rPr>
        <w:t>学前教育。</w:t>
      </w:r>
      <w:r>
        <w:rPr>
          <w:rFonts w:hint="eastAsia" w:ascii="仿宋_GB2312"/>
          <w:b w:val="0"/>
          <w:bCs w:val="0"/>
          <w:sz w:val="32"/>
          <w:szCs w:val="32"/>
          <w:u w:val="none"/>
        </w:rPr>
        <w:t>鼓励</w:t>
      </w:r>
      <w:r>
        <w:rPr>
          <w:rFonts w:ascii="仿宋_GB2312" w:cs="宋体"/>
          <w:b w:val="0"/>
          <w:bCs w:val="0"/>
          <w:kern w:val="0"/>
          <w:sz w:val="32"/>
          <w:szCs w:val="32"/>
          <w:u w:val="none"/>
        </w:rPr>
        <w:t>街道、村集体、国有企业、高</w:t>
      </w:r>
      <w:r>
        <w:rPr>
          <w:rFonts w:hint="eastAsia" w:ascii="仿宋_GB2312" w:cs="宋体"/>
          <w:b w:val="0"/>
          <w:bCs w:val="0"/>
          <w:kern w:val="0"/>
          <w:sz w:val="32"/>
          <w:szCs w:val="32"/>
          <w:u w:val="none"/>
        </w:rPr>
        <w:t>校</w:t>
      </w:r>
      <w:r>
        <w:rPr>
          <w:rFonts w:ascii="仿宋_GB2312" w:cs="宋体"/>
          <w:b w:val="0"/>
          <w:bCs w:val="0"/>
          <w:kern w:val="0"/>
          <w:sz w:val="32"/>
          <w:szCs w:val="32"/>
          <w:u w:val="none"/>
        </w:rPr>
        <w:t>等</w:t>
      </w:r>
      <w:r>
        <w:rPr>
          <w:rFonts w:hint="eastAsia" w:ascii="仿宋_GB2312" w:cs="宋体"/>
          <w:b w:val="0"/>
          <w:bCs w:val="0"/>
          <w:kern w:val="0"/>
          <w:sz w:val="32"/>
          <w:szCs w:val="32"/>
          <w:u w:val="none"/>
        </w:rPr>
        <w:t>建设</w:t>
      </w:r>
      <w:r>
        <w:rPr>
          <w:rFonts w:ascii="仿宋_GB2312" w:cs="宋体"/>
          <w:b w:val="0"/>
          <w:bCs w:val="0"/>
          <w:kern w:val="0"/>
          <w:sz w:val="32"/>
          <w:szCs w:val="32"/>
          <w:u w:val="none"/>
        </w:rPr>
        <w:t>公办幼儿园，扩充公办幼儿园比例。</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cs="宋体"/>
          <w:b w:val="0"/>
          <w:bCs w:val="0"/>
          <w:kern w:val="0"/>
          <w:sz w:val="32"/>
          <w:szCs w:val="32"/>
          <w:u w:val="none"/>
        </w:rPr>
      </w:pPr>
      <w:r>
        <w:rPr>
          <w:rFonts w:hint="eastAsia" w:ascii="仿宋_GB2312" w:cs="宋体"/>
          <w:b w:val="0"/>
          <w:bCs w:val="0"/>
          <w:kern w:val="0"/>
          <w:sz w:val="32"/>
          <w:szCs w:val="32"/>
          <w:u w:val="none"/>
        </w:rPr>
        <w:t>特殊教育。完善特殊教育设施体系，至2035年，全市配置1所市级标准化特殊教育学校，香洲、金湾、斗门各设置1 所片区级标准化特殊教育学校。</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05" w:name="_Toc11151"/>
      <w:bookmarkStart w:id="106" w:name="_Toc138942600"/>
      <w:r>
        <w:rPr>
          <w:rFonts w:hint="eastAsia"/>
          <w:b w:val="0"/>
          <w:bCs w:val="0"/>
          <w:sz w:val="32"/>
          <w:szCs w:val="32"/>
          <w:u w:val="none"/>
          <w:lang w:val="en-US"/>
        </w:rPr>
        <w:t>打造富有活力的体育设施体系</w:t>
      </w:r>
      <w:bookmarkEnd w:id="105"/>
      <w:bookmarkEnd w:id="106"/>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cs="宋体"/>
          <w:b w:val="0"/>
          <w:bCs w:val="0"/>
          <w:kern w:val="0"/>
          <w:sz w:val="32"/>
          <w:szCs w:val="32"/>
          <w:u w:val="none"/>
        </w:rPr>
      </w:pPr>
      <w:r>
        <w:rPr>
          <w:rFonts w:ascii="仿宋_GB2312" w:cs="宋体"/>
          <w:b w:val="0"/>
          <w:bCs w:val="0"/>
          <w:kern w:val="0"/>
          <w:sz w:val="32"/>
          <w:szCs w:val="32"/>
          <w:u w:val="none"/>
        </w:rPr>
        <w:t>健全体育设施配置，构建覆盖城乡、体系健全的体育设施体系。优化提升东部中心城区现状市级体育中心，新建西部</w:t>
      </w:r>
      <w:r>
        <w:rPr>
          <w:rFonts w:hint="eastAsia" w:ascii="仿宋_GB2312" w:cs="宋体"/>
          <w:b w:val="0"/>
          <w:bCs w:val="0"/>
          <w:kern w:val="0"/>
          <w:sz w:val="32"/>
          <w:szCs w:val="32"/>
          <w:u w:val="none"/>
        </w:rPr>
        <w:t>中心城区</w:t>
      </w:r>
      <w:r>
        <w:rPr>
          <w:rFonts w:ascii="仿宋_GB2312" w:cs="宋体"/>
          <w:b w:val="0"/>
          <w:bCs w:val="0"/>
          <w:kern w:val="0"/>
          <w:sz w:val="32"/>
          <w:szCs w:val="32"/>
          <w:u w:val="none"/>
        </w:rPr>
        <w:t>市级体育中心</w:t>
      </w:r>
      <w:r>
        <w:rPr>
          <w:rFonts w:hint="eastAsia" w:ascii="仿宋_GB2312" w:cs="宋体"/>
          <w:b w:val="0"/>
          <w:bCs w:val="0"/>
          <w:kern w:val="0"/>
          <w:sz w:val="32"/>
          <w:szCs w:val="32"/>
          <w:u w:val="none"/>
        </w:rPr>
        <w:t>。保留提升斗门片区级体育中心，新增高新、香洲片区级体育设施。</w:t>
      </w:r>
      <w:r>
        <w:rPr>
          <w:rFonts w:ascii="仿宋_GB2312" w:cs="宋体"/>
          <w:b w:val="0"/>
          <w:bCs w:val="0"/>
          <w:kern w:val="0"/>
          <w:sz w:val="32"/>
          <w:szCs w:val="32"/>
          <w:u w:val="none"/>
        </w:rPr>
        <w:t>合理利用公园绿地</w:t>
      </w:r>
      <w:r>
        <w:rPr>
          <w:rFonts w:hint="eastAsia" w:ascii="仿宋_GB2312" w:cs="宋体"/>
          <w:b w:val="0"/>
          <w:bCs w:val="0"/>
          <w:kern w:val="0"/>
          <w:sz w:val="32"/>
          <w:szCs w:val="32"/>
          <w:u w:val="none"/>
        </w:rPr>
        <w:t>空间植入</w:t>
      </w:r>
      <w:r>
        <w:rPr>
          <w:rFonts w:ascii="仿宋_GB2312" w:cs="宋体"/>
          <w:b w:val="0"/>
          <w:bCs w:val="0"/>
          <w:kern w:val="0"/>
          <w:sz w:val="32"/>
          <w:szCs w:val="32"/>
          <w:u w:val="none"/>
        </w:rPr>
        <w:t>全民健身设施</w:t>
      </w:r>
      <w:r>
        <w:rPr>
          <w:rFonts w:hint="eastAsia" w:ascii="仿宋_GB2312" w:cs="宋体"/>
          <w:b w:val="0"/>
          <w:bCs w:val="0"/>
          <w:kern w:val="0"/>
          <w:sz w:val="32"/>
          <w:szCs w:val="32"/>
          <w:u w:val="none"/>
        </w:rPr>
        <w:t>，推行公共休闲空间复合高效利用。</w:t>
      </w:r>
      <w:r>
        <w:rPr>
          <w:rFonts w:ascii="仿宋_GB2312" w:cs="宋体"/>
          <w:b w:val="0"/>
          <w:bCs w:val="0"/>
          <w:kern w:val="0"/>
          <w:sz w:val="32"/>
          <w:szCs w:val="32"/>
          <w:u w:val="none"/>
        </w:rPr>
        <w:t>鼓励</w:t>
      </w:r>
      <w:r>
        <w:rPr>
          <w:rFonts w:hint="eastAsia" w:ascii="仿宋_GB2312" w:cs="宋体"/>
          <w:b w:val="0"/>
          <w:bCs w:val="0"/>
          <w:kern w:val="0"/>
          <w:sz w:val="32"/>
          <w:szCs w:val="32"/>
          <w:u w:val="none"/>
        </w:rPr>
        <w:t>合理利用</w:t>
      </w:r>
      <w:r>
        <w:rPr>
          <w:rFonts w:ascii="仿宋_GB2312" w:cs="宋体"/>
          <w:b w:val="0"/>
          <w:bCs w:val="0"/>
          <w:kern w:val="0"/>
          <w:sz w:val="32"/>
          <w:szCs w:val="32"/>
          <w:u w:val="none"/>
        </w:rPr>
        <w:t>闲置废弃</w:t>
      </w:r>
      <w:r>
        <w:rPr>
          <w:rFonts w:hint="eastAsia" w:ascii="仿宋_GB2312" w:cs="宋体"/>
          <w:b w:val="0"/>
          <w:bCs w:val="0"/>
          <w:kern w:val="0"/>
          <w:sz w:val="32"/>
          <w:szCs w:val="32"/>
          <w:u w:val="none"/>
        </w:rPr>
        <w:t>空间、边角空间等改造建设健身场地</w:t>
      </w:r>
      <w:r>
        <w:rPr>
          <w:rFonts w:ascii="仿宋_GB2312" w:cs="宋体"/>
          <w:b w:val="0"/>
          <w:bCs w:val="0"/>
          <w:kern w:val="0"/>
          <w:sz w:val="32"/>
          <w:szCs w:val="32"/>
          <w:u w:val="none"/>
        </w:rPr>
        <w:t>。</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07" w:name="_Toc138942601"/>
      <w:bookmarkStart w:id="108" w:name="_Toc1356"/>
      <w:r>
        <w:rPr>
          <w:rFonts w:hint="eastAsia"/>
          <w:b w:val="0"/>
          <w:bCs w:val="0"/>
          <w:sz w:val="32"/>
          <w:szCs w:val="32"/>
          <w:u w:val="none"/>
          <w:lang w:val="en-US"/>
        </w:rPr>
        <w:t>夯实高效均衡的医疗卫生体系</w:t>
      </w:r>
      <w:bookmarkEnd w:id="107"/>
      <w:bookmarkEnd w:id="108"/>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cs="宋体"/>
          <w:b w:val="0"/>
          <w:bCs w:val="0"/>
          <w:kern w:val="0"/>
          <w:sz w:val="32"/>
          <w:szCs w:val="32"/>
          <w:u w:val="none"/>
        </w:rPr>
      </w:pPr>
      <w:r>
        <w:rPr>
          <w:rFonts w:hint="eastAsia" w:ascii="仿宋_GB2312" w:cs="宋体"/>
          <w:b w:val="0"/>
          <w:bCs w:val="0"/>
          <w:kern w:val="0"/>
          <w:sz w:val="32"/>
          <w:szCs w:val="32"/>
          <w:u w:val="none"/>
        </w:rPr>
        <w:t>强化医疗卫生服务能力，促进医疗卫生资源配置均衡化。健全市级、片区级、基本城市组团级综合医院体系，规划斗门、高新各新增</w:t>
      </w:r>
      <w:r>
        <w:rPr>
          <w:rFonts w:hint="eastAsia" w:cs="宋体"/>
          <w:b w:val="0"/>
          <w:bCs w:val="0"/>
          <w:kern w:val="0"/>
          <w:sz w:val="32"/>
          <w:szCs w:val="32"/>
          <w:u w:val="none"/>
        </w:rPr>
        <w:t>1</w:t>
      </w:r>
      <w:r>
        <w:rPr>
          <w:rFonts w:hint="eastAsia" w:ascii="仿宋_GB2312" w:cs="宋体"/>
          <w:b w:val="0"/>
          <w:bCs w:val="0"/>
          <w:kern w:val="0"/>
          <w:sz w:val="32"/>
          <w:szCs w:val="32"/>
          <w:u w:val="none"/>
        </w:rPr>
        <w:t>所市级综合医院，完善医疗救治设施体系。规划全市范围新增</w:t>
      </w:r>
      <w:r>
        <w:rPr>
          <w:rFonts w:hint="eastAsia" w:cs="宋体"/>
          <w:b w:val="0"/>
          <w:bCs w:val="0"/>
          <w:kern w:val="0"/>
          <w:sz w:val="32"/>
          <w:szCs w:val="32"/>
          <w:u w:val="none"/>
        </w:rPr>
        <w:t>4</w:t>
      </w:r>
      <w:r>
        <w:rPr>
          <w:rFonts w:hint="eastAsia" w:ascii="仿宋_GB2312" w:cs="宋体"/>
          <w:b w:val="0"/>
          <w:bCs w:val="0"/>
          <w:kern w:val="0"/>
          <w:sz w:val="32"/>
          <w:szCs w:val="32"/>
          <w:u w:val="none"/>
        </w:rPr>
        <w:t>所市级专科医院。健全专业公共卫生服务体系，规划高新、金湾各新增</w:t>
      </w:r>
      <w:r>
        <w:rPr>
          <w:rFonts w:hint="eastAsia" w:cs="宋体"/>
          <w:b w:val="0"/>
          <w:bCs w:val="0"/>
          <w:kern w:val="0"/>
          <w:sz w:val="32"/>
          <w:szCs w:val="32"/>
          <w:u w:val="none"/>
        </w:rPr>
        <w:t>1</w:t>
      </w:r>
      <w:r>
        <w:rPr>
          <w:rFonts w:hint="eastAsia" w:ascii="仿宋_GB2312" w:cs="宋体"/>
          <w:b w:val="0"/>
          <w:bCs w:val="0"/>
          <w:kern w:val="0"/>
          <w:sz w:val="32"/>
          <w:szCs w:val="32"/>
          <w:u w:val="none"/>
        </w:rPr>
        <w:t>所片区级疾病预防控制中心、</w:t>
      </w:r>
      <w:r>
        <w:rPr>
          <w:rFonts w:hint="eastAsia" w:cs="宋体"/>
          <w:b w:val="0"/>
          <w:bCs w:val="0"/>
          <w:kern w:val="0"/>
          <w:sz w:val="32"/>
          <w:szCs w:val="32"/>
          <w:u w:val="none"/>
        </w:rPr>
        <w:t>1</w:t>
      </w:r>
      <w:r>
        <w:rPr>
          <w:rFonts w:hint="eastAsia" w:ascii="仿宋_GB2312" w:cs="宋体"/>
          <w:b w:val="0"/>
          <w:bCs w:val="0"/>
          <w:kern w:val="0"/>
          <w:sz w:val="32"/>
          <w:szCs w:val="32"/>
          <w:u w:val="none"/>
        </w:rPr>
        <w:t>所片区级妇女儿童医院；完善设置血站、急救设施、卫生监督机构等专业公共卫生设施，提升卫生防疫服务职能保障。</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09" w:name="_Toc18219"/>
      <w:bookmarkStart w:id="110" w:name="_Toc138942602"/>
      <w:r>
        <w:rPr>
          <w:rFonts w:hint="eastAsia"/>
          <w:b w:val="0"/>
          <w:bCs w:val="0"/>
          <w:sz w:val="32"/>
          <w:szCs w:val="32"/>
          <w:u w:val="none"/>
          <w:lang w:val="en-US"/>
        </w:rPr>
        <w:t>形成健全规范的社会福利设施体系</w:t>
      </w:r>
      <w:bookmarkEnd w:id="109"/>
      <w:bookmarkEnd w:id="110"/>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cs="宋体"/>
          <w:b w:val="0"/>
          <w:bCs w:val="0"/>
          <w:kern w:val="0"/>
          <w:sz w:val="32"/>
          <w:szCs w:val="32"/>
          <w:u w:val="none"/>
        </w:rPr>
      </w:pPr>
      <w:r>
        <w:rPr>
          <w:rFonts w:hint="eastAsia" w:ascii="仿宋_GB2312" w:cs="宋体"/>
          <w:b w:val="0"/>
          <w:bCs w:val="0"/>
          <w:kern w:val="0"/>
          <w:sz w:val="32"/>
          <w:szCs w:val="32"/>
          <w:u w:val="none"/>
        </w:rPr>
        <w:t>健全服务老年人、残疾人、儿童群体以及社会救助庇护群体的四级社会福利体系，促进公共资源与救助需求高效精准</w:t>
      </w:r>
      <w:r>
        <w:rPr>
          <w:rFonts w:hint="eastAsia" w:ascii="仿宋_GB2312"/>
          <w:b w:val="0"/>
          <w:bCs w:val="0"/>
          <w:sz w:val="32"/>
          <w:szCs w:val="32"/>
          <w:u w:val="none"/>
        </w:rPr>
        <w:t>对接</w:t>
      </w:r>
      <w:r>
        <w:rPr>
          <w:rFonts w:hint="eastAsia" w:ascii="仿宋_GB2312" w:cs="宋体"/>
          <w:b w:val="0"/>
          <w:bCs w:val="0"/>
          <w:kern w:val="0"/>
          <w:sz w:val="32"/>
          <w:szCs w:val="32"/>
          <w:u w:val="none"/>
        </w:rPr>
        <w:t>。东部中心城区提升完善社会福利中心功能，西部中心城区新增</w:t>
      </w:r>
      <w:r>
        <w:rPr>
          <w:rFonts w:hint="eastAsia" w:cs="宋体"/>
          <w:b w:val="0"/>
          <w:bCs w:val="0"/>
          <w:kern w:val="0"/>
          <w:sz w:val="32"/>
          <w:szCs w:val="32"/>
          <w:u w:val="none"/>
        </w:rPr>
        <w:t>1</w:t>
      </w:r>
      <w:r>
        <w:rPr>
          <w:rFonts w:hint="eastAsia" w:ascii="仿宋_GB2312" w:cs="宋体"/>
          <w:b w:val="0"/>
          <w:bCs w:val="0"/>
          <w:kern w:val="0"/>
          <w:sz w:val="32"/>
          <w:szCs w:val="32"/>
          <w:u w:val="none"/>
        </w:rPr>
        <w:t>处市级社会福利中心。补充完善片区级社会福利设施。健全养老服务设施配置，构建多层次、便捷可及、功能复合的养老服务体系。</w:t>
      </w:r>
    </w:p>
    <w:bookmarkEnd w:id="102"/>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11" w:name="_Toc32440"/>
      <w:bookmarkStart w:id="112" w:name="_Toc138058944"/>
      <w:bookmarkStart w:id="113" w:name="_Toc138942603"/>
      <w:r>
        <w:rPr>
          <w:rFonts w:hint="eastAsia"/>
          <w:b w:val="0"/>
          <w:bCs w:val="0"/>
          <w:sz w:val="32"/>
          <w:szCs w:val="32"/>
          <w:u w:val="none"/>
          <w:lang w:val="en-US"/>
        </w:rPr>
        <w:t>构建社区生活圈</w:t>
      </w:r>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cs="宋体"/>
          <w:b w:val="0"/>
          <w:bCs w:val="0"/>
          <w:kern w:val="0"/>
          <w:sz w:val="32"/>
          <w:szCs w:val="32"/>
          <w:u w:val="none"/>
        </w:rPr>
      </w:pPr>
      <w:r>
        <w:rPr>
          <w:rFonts w:ascii="仿宋_GB2312" w:cs="宋体"/>
          <w:b w:val="0"/>
          <w:bCs w:val="0"/>
          <w:kern w:val="0"/>
          <w:sz w:val="32"/>
          <w:szCs w:val="32"/>
          <w:u w:val="none"/>
        </w:rPr>
        <w:t>落实十五分钟社区生活圈要求。在步行</w:t>
      </w:r>
      <w:r>
        <w:rPr>
          <w:rFonts w:hint="eastAsia" w:cs="宋体"/>
          <w:b w:val="0"/>
          <w:bCs w:val="0"/>
          <w:kern w:val="0"/>
          <w:sz w:val="32"/>
          <w:szCs w:val="32"/>
          <w:u w:val="none"/>
        </w:rPr>
        <w:t>1</w:t>
      </w:r>
      <w:r>
        <w:rPr>
          <w:rFonts w:cs="宋体"/>
          <w:b w:val="0"/>
          <w:bCs w:val="0"/>
          <w:kern w:val="0"/>
          <w:sz w:val="32"/>
          <w:szCs w:val="32"/>
          <w:u w:val="none"/>
        </w:rPr>
        <w:t>5</w:t>
      </w:r>
      <w:r>
        <w:rPr>
          <w:rFonts w:ascii="仿宋_GB2312" w:cs="宋体"/>
          <w:b w:val="0"/>
          <w:bCs w:val="0"/>
          <w:kern w:val="0"/>
          <w:sz w:val="32"/>
          <w:szCs w:val="32"/>
          <w:u w:val="none"/>
        </w:rPr>
        <w:t>分钟可达的空间范围内，完善教育、文化、医疗、养老、休闲及就业创业等</w:t>
      </w:r>
      <w:r>
        <w:rPr>
          <w:rFonts w:hint="eastAsia" w:ascii="仿宋_GB2312"/>
          <w:b w:val="0"/>
          <w:bCs w:val="0"/>
          <w:sz w:val="32"/>
          <w:szCs w:val="32"/>
          <w:u w:val="none"/>
        </w:rPr>
        <w:t>基本</w:t>
      </w:r>
      <w:r>
        <w:rPr>
          <w:rFonts w:ascii="仿宋_GB2312" w:cs="宋体"/>
          <w:b w:val="0"/>
          <w:bCs w:val="0"/>
          <w:kern w:val="0"/>
          <w:sz w:val="32"/>
          <w:szCs w:val="32"/>
          <w:u w:val="none"/>
        </w:rPr>
        <w:t>服务功能，形成“宜居、宜业、宜游、宜学、宜养”的社区生活圈，构建以人为本、低碳韧性、公平包容的“社区共同体”。</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cs="宋体"/>
          <w:b w:val="0"/>
          <w:bCs w:val="0"/>
          <w:kern w:val="0"/>
          <w:sz w:val="32"/>
          <w:szCs w:val="32"/>
          <w:u w:val="none"/>
        </w:rPr>
      </w:pPr>
      <w:r>
        <w:rPr>
          <w:rFonts w:hint="eastAsia" w:ascii="仿宋_GB2312" w:cs="宋体"/>
          <w:b w:val="0"/>
          <w:bCs w:val="0"/>
          <w:kern w:val="0"/>
          <w:sz w:val="32"/>
          <w:szCs w:val="32"/>
          <w:u w:val="none"/>
        </w:rPr>
        <w:t>探索以“邻里”为单位的十分钟社区生活圈。结合珠海主干路网尺度、人口密度、对接港澳标准等特点，探索以“邻里”为单位、在步行</w:t>
      </w:r>
      <w:r>
        <w:rPr>
          <w:rFonts w:hint="eastAsia" w:cs="宋体"/>
          <w:b w:val="0"/>
          <w:bCs w:val="0"/>
          <w:kern w:val="0"/>
          <w:sz w:val="32"/>
          <w:szCs w:val="32"/>
          <w:u w:val="none"/>
        </w:rPr>
        <w:t>10</w:t>
      </w:r>
      <w:r>
        <w:rPr>
          <w:rFonts w:hint="eastAsia" w:ascii="仿宋_GB2312" w:cs="宋体"/>
          <w:b w:val="0"/>
          <w:bCs w:val="0"/>
          <w:kern w:val="0"/>
          <w:sz w:val="32"/>
          <w:szCs w:val="32"/>
          <w:u w:val="none"/>
        </w:rPr>
        <w:t>分钟可达的空间范围内布局</w:t>
      </w:r>
      <w:r>
        <w:rPr>
          <w:rFonts w:hint="eastAsia" w:cs="宋体"/>
          <w:b w:val="0"/>
          <w:bCs w:val="0"/>
          <w:kern w:val="0"/>
          <w:sz w:val="32"/>
          <w:szCs w:val="32"/>
          <w:u w:val="none"/>
        </w:rPr>
        <w:t>15</w:t>
      </w:r>
      <w:r>
        <w:rPr>
          <w:rFonts w:hint="eastAsia" w:ascii="仿宋_GB2312" w:cs="宋体"/>
          <w:b w:val="0"/>
          <w:bCs w:val="0"/>
          <w:kern w:val="0"/>
          <w:sz w:val="32"/>
          <w:szCs w:val="32"/>
          <w:u w:val="none"/>
        </w:rPr>
        <w:t>分钟社区生活圈的设施，包括邻里级商业、文化、教育、体育活动、老幼照顾、医疗卫生及其他必要的交通市政设施等。加快打造一批品质卓越的国际化社区，构建全民、全龄友好型社区生活圈。</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cs="宋体"/>
          <w:b w:val="0"/>
          <w:bCs w:val="0"/>
          <w:kern w:val="0"/>
          <w:sz w:val="32"/>
          <w:szCs w:val="32"/>
          <w:u w:val="none"/>
          <w:lang w:val="zh-CN"/>
        </w:rPr>
      </w:pPr>
      <w:r>
        <w:rPr>
          <w:rFonts w:hint="eastAsia" w:ascii="仿宋_GB2312" w:cs="宋体"/>
          <w:b w:val="0"/>
          <w:bCs w:val="0"/>
          <w:kern w:val="0"/>
          <w:sz w:val="32"/>
          <w:szCs w:val="32"/>
          <w:u w:val="none"/>
        </w:rPr>
        <w:t>完善社区生活圈实施路径与措施。新城新区严格落实设施空间布局和配置体系，社区公共</w:t>
      </w:r>
      <w:r>
        <w:rPr>
          <w:rFonts w:hint="eastAsia" w:ascii="仿宋_GB2312"/>
          <w:b w:val="0"/>
          <w:bCs w:val="0"/>
          <w:sz w:val="32"/>
          <w:szCs w:val="32"/>
          <w:u w:val="none"/>
        </w:rPr>
        <w:t>服务</w:t>
      </w:r>
      <w:r>
        <w:rPr>
          <w:rFonts w:hint="eastAsia" w:ascii="仿宋_GB2312" w:cs="宋体"/>
          <w:b w:val="0"/>
          <w:bCs w:val="0"/>
          <w:kern w:val="0"/>
          <w:sz w:val="32"/>
          <w:szCs w:val="32"/>
          <w:u w:val="none"/>
        </w:rPr>
        <w:t>设施和住宅项目应同步规划、建设、验收与交付。老城区推行街区连片统筹微更新，开展社区体检评估，补齐社区生活圈短板。</w:t>
      </w:r>
    </w:p>
    <w:p>
      <w:pPr>
        <w:pStyle w:val="81"/>
        <w:keepNext w:val="0"/>
        <w:keepLines w:val="0"/>
        <w:pageBreakBefore w:val="0"/>
        <w:widowControl w:val="0"/>
        <w:numPr>
          <w:ilvl w:val="0"/>
          <w:numId w:val="8"/>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114" w:name="_Toc24903"/>
      <w:r>
        <w:rPr>
          <w:rFonts w:hint="eastAsia"/>
          <w:b w:val="0"/>
          <w:bCs w:val="0"/>
          <w:sz w:val="32"/>
          <w:szCs w:val="32"/>
          <w:u w:val="none"/>
        </w:rPr>
        <w:t>绿色开敞空间</w:t>
      </w:r>
      <w:bookmarkEnd w:id="114"/>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15" w:name="_Toc23524"/>
      <w:r>
        <w:rPr>
          <w:rFonts w:hint="eastAsia"/>
          <w:b w:val="0"/>
          <w:bCs w:val="0"/>
          <w:sz w:val="32"/>
          <w:szCs w:val="32"/>
          <w:u w:val="none"/>
          <w:lang w:val="en-US"/>
        </w:rPr>
        <w:t>构建绿色开敞空间体系</w:t>
      </w:r>
      <w:bookmarkEnd w:id="115"/>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cs="宋体"/>
          <w:b w:val="0"/>
          <w:bCs w:val="0"/>
          <w:kern w:val="0"/>
          <w:sz w:val="32"/>
          <w:szCs w:val="32"/>
          <w:u w:val="none"/>
        </w:rPr>
      </w:pPr>
      <w:r>
        <w:rPr>
          <w:rFonts w:hint="eastAsia" w:ascii="仿宋_GB2312" w:cs="宋体"/>
          <w:b w:val="0"/>
          <w:bCs w:val="0"/>
          <w:kern w:val="0"/>
          <w:sz w:val="32"/>
          <w:szCs w:val="32"/>
          <w:u w:val="none"/>
        </w:rPr>
        <w:t>匹配四级中心体系，建设“市级、片区级、基本城市组团及邻里级”城乡公园及广场体系，提升公园广场开敞空间服务能力和可达性。至</w:t>
      </w:r>
      <w:r>
        <w:rPr>
          <w:rFonts w:hint="eastAsia" w:cs="宋体"/>
          <w:b w:val="0"/>
          <w:bCs w:val="0"/>
          <w:kern w:val="0"/>
          <w:sz w:val="32"/>
          <w:szCs w:val="32"/>
          <w:u w:val="none"/>
        </w:rPr>
        <w:t>2035</w:t>
      </w:r>
      <w:r>
        <w:rPr>
          <w:rFonts w:hint="eastAsia" w:ascii="仿宋_GB2312" w:cs="宋体"/>
          <w:b w:val="0"/>
          <w:bCs w:val="0"/>
          <w:kern w:val="0"/>
          <w:sz w:val="32"/>
          <w:szCs w:val="32"/>
          <w:u w:val="none"/>
        </w:rPr>
        <w:t>年，城镇开发边界内建成的公园绿地、广场步行“</w:t>
      </w:r>
      <w:r>
        <w:rPr>
          <w:rFonts w:hint="eastAsia" w:cs="宋体"/>
          <w:b w:val="0"/>
          <w:bCs w:val="0"/>
          <w:kern w:val="0"/>
          <w:sz w:val="32"/>
          <w:szCs w:val="32"/>
          <w:u w:val="none"/>
        </w:rPr>
        <w:t>5</w:t>
      </w:r>
      <w:r>
        <w:rPr>
          <w:rFonts w:hint="eastAsia" w:ascii="仿宋_GB2312" w:cs="宋体"/>
          <w:b w:val="0"/>
          <w:bCs w:val="0"/>
          <w:kern w:val="0"/>
          <w:sz w:val="32"/>
          <w:szCs w:val="32"/>
          <w:u w:val="none"/>
        </w:rPr>
        <w:t>分钟覆盖率”不低于</w:t>
      </w:r>
      <w:r>
        <w:rPr>
          <w:rFonts w:hint="eastAsia" w:cs="宋体"/>
          <w:b w:val="0"/>
          <w:bCs w:val="0"/>
          <w:kern w:val="0"/>
          <w:sz w:val="32"/>
          <w:szCs w:val="32"/>
          <w:u w:val="none"/>
        </w:rPr>
        <w:t>90</w:t>
      </w:r>
      <w:r>
        <w:rPr>
          <w:rFonts w:hint="eastAsia" w:ascii="仿宋_GB2312" w:cs="宋体"/>
          <w:b w:val="0"/>
          <w:bCs w:val="0"/>
          <w:kern w:val="0"/>
          <w:sz w:val="32"/>
          <w:szCs w:val="32"/>
          <w:u w:val="none"/>
        </w:rPr>
        <w:t>％。</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16" w:name="_Toc2906"/>
      <w:r>
        <w:rPr>
          <w:rFonts w:hint="eastAsia"/>
          <w:b w:val="0"/>
          <w:bCs w:val="0"/>
          <w:sz w:val="32"/>
          <w:szCs w:val="32"/>
          <w:u w:val="none"/>
          <w:lang w:val="en-US"/>
        </w:rPr>
        <w:t>共建蓝绿相融的游憩廊道网络</w:t>
      </w:r>
      <w:bookmarkEnd w:id="116"/>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cs="宋体"/>
          <w:b w:val="0"/>
          <w:bCs w:val="0"/>
          <w:kern w:val="0"/>
          <w:sz w:val="32"/>
          <w:szCs w:val="32"/>
          <w:u w:val="none"/>
        </w:rPr>
      </w:pPr>
      <w:r>
        <w:rPr>
          <w:rFonts w:hint="eastAsia" w:ascii="仿宋_GB2312" w:cs="宋体"/>
          <w:b w:val="0"/>
          <w:bCs w:val="0"/>
          <w:kern w:val="0"/>
          <w:sz w:val="32"/>
          <w:szCs w:val="32"/>
          <w:u w:val="none"/>
        </w:rPr>
        <w:t>依托自然水系和山体，建设以水系碧道、山体绿道和古驿道相互连通的集环境品质、文化展示、休闲健身等多元功能的游憩廊道体系。</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17" w:name="_Toc19586"/>
      <w:r>
        <w:rPr>
          <w:rFonts w:hint="eastAsia"/>
          <w:b w:val="0"/>
          <w:bCs w:val="0"/>
          <w:sz w:val="32"/>
          <w:szCs w:val="32"/>
          <w:u w:val="none"/>
          <w:lang w:val="en-US"/>
        </w:rPr>
        <w:t>推进都市田园建设</w:t>
      </w:r>
      <w:bookmarkEnd w:id="117"/>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cs="宋体"/>
          <w:b w:val="0"/>
          <w:bCs w:val="0"/>
          <w:kern w:val="0"/>
          <w:sz w:val="32"/>
          <w:szCs w:val="32"/>
          <w:u w:val="none"/>
        </w:rPr>
      </w:pPr>
      <w:r>
        <w:rPr>
          <w:rFonts w:hint="eastAsia" w:ascii="仿宋_GB2312" w:cs="宋体"/>
          <w:b w:val="0"/>
          <w:bCs w:val="0"/>
          <w:kern w:val="0"/>
          <w:sz w:val="32"/>
          <w:szCs w:val="32"/>
          <w:u w:val="none"/>
        </w:rPr>
        <w:t>在严格落实耕地保护要求的基础上，鼓励将城镇开发边界内“开天窗”及其他毗邻城镇开发边界的永久基本农田建成集农业生产、科普教育、观光休闲于一体的新型农业载体，融入都市绿色开放空间。</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18" w:name="_Toc21020"/>
      <w:r>
        <w:rPr>
          <w:rFonts w:hint="eastAsia"/>
          <w:b w:val="0"/>
          <w:bCs w:val="0"/>
          <w:sz w:val="32"/>
          <w:szCs w:val="32"/>
          <w:u w:val="none"/>
          <w:lang w:val="en-US"/>
        </w:rPr>
        <w:t>营造城市公共艺术空间</w:t>
      </w:r>
      <w:bookmarkEnd w:id="118"/>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cs="宋体"/>
          <w:b w:val="0"/>
          <w:bCs w:val="0"/>
          <w:kern w:val="0"/>
          <w:sz w:val="32"/>
          <w:szCs w:val="32"/>
          <w:u w:val="none"/>
        </w:rPr>
      </w:pPr>
      <w:r>
        <w:rPr>
          <w:rFonts w:hint="eastAsia" w:cs="宋体"/>
          <w:b w:val="0"/>
          <w:bCs w:val="0"/>
          <w:kern w:val="0"/>
          <w:sz w:val="32"/>
          <w:szCs w:val="32"/>
          <w:u w:val="none"/>
        </w:rPr>
        <w:t>重点提升机场、高铁枢纽、轨道枢纽、口岸等门户地区的公共活动空间，塑造高品质城市活力和交往中心。通过岸线活化利用、文化功能植入等，丰富日月贝大剧院、海滨公园等滨海</w:t>
      </w:r>
      <w:r>
        <w:rPr>
          <w:rFonts w:hint="eastAsia" w:ascii="仿宋_GB2312"/>
          <w:b w:val="0"/>
          <w:bCs w:val="0"/>
          <w:sz w:val="32"/>
          <w:szCs w:val="32"/>
          <w:u w:val="none"/>
        </w:rPr>
        <w:t>公共场所</w:t>
      </w:r>
      <w:r>
        <w:rPr>
          <w:rFonts w:hint="eastAsia" w:cs="宋体"/>
          <w:b w:val="0"/>
          <w:bCs w:val="0"/>
          <w:kern w:val="0"/>
          <w:sz w:val="32"/>
          <w:szCs w:val="32"/>
          <w:u w:val="none"/>
        </w:rPr>
        <w:t>体验。充分挖掘城市居住区周边、产业园区周边、城镇街角、桥下空间、基础设施周边空间、屋顶空间、边角未利用地等闲置空间植入艺术小品、墙体壁画、立体绿化等，塑造公共艺术空间。</w:t>
      </w:r>
    </w:p>
    <w:p>
      <w:pPr>
        <w:pStyle w:val="81"/>
        <w:keepNext w:val="0"/>
        <w:keepLines w:val="0"/>
        <w:pageBreakBefore w:val="0"/>
        <w:widowControl w:val="0"/>
        <w:numPr>
          <w:ilvl w:val="0"/>
          <w:numId w:val="8"/>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lang w:val="zh-CN"/>
        </w:rPr>
      </w:pPr>
      <w:bookmarkStart w:id="119" w:name="_Toc32521"/>
      <w:r>
        <w:rPr>
          <w:rFonts w:hint="eastAsia"/>
          <w:b w:val="0"/>
          <w:bCs w:val="0"/>
          <w:sz w:val="32"/>
          <w:szCs w:val="32"/>
          <w:u w:val="none"/>
          <w:lang w:val="zh-CN"/>
        </w:rPr>
        <w:t>再利用土地</w:t>
      </w:r>
      <w:bookmarkEnd w:id="119"/>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20" w:name="_Toc13376"/>
      <w:bookmarkStart w:id="121" w:name="_Toc27758"/>
      <w:bookmarkStart w:id="122" w:name="_Toc138661925"/>
      <w:r>
        <w:rPr>
          <w:b w:val="0"/>
          <w:bCs w:val="0"/>
          <w:sz w:val="32"/>
          <w:szCs w:val="32"/>
          <w:u w:val="none"/>
          <w:lang w:val="en-US"/>
        </w:rPr>
        <w:t>明确再利用土地概念</w:t>
      </w:r>
      <w:bookmarkEnd w:id="120"/>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将低效率、低品质、不安全、不合理等非高质量发展的城乡建设用地列为再利用土地，包括城市</w:t>
      </w:r>
      <w:r>
        <w:rPr>
          <w:rFonts w:ascii="仿宋_GB2312" w:hAnsi="仿宋" w:cs="Times New Roman"/>
          <w:b w:val="0"/>
          <w:bCs w:val="0"/>
          <w:kern w:val="0"/>
          <w:sz w:val="32"/>
          <w:szCs w:val="32"/>
          <w:u w:val="none"/>
        </w:rPr>
        <w:t>更新用地</w:t>
      </w:r>
      <w:r>
        <w:rPr>
          <w:rFonts w:hint="eastAsia" w:ascii="仿宋_GB2312" w:hAnsi="仿宋" w:cs="Times New Roman"/>
          <w:b w:val="0"/>
          <w:bCs w:val="0"/>
          <w:kern w:val="0"/>
          <w:sz w:val="32"/>
          <w:szCs w:val="32"/>
          <w:u w:val="none"/>
        </w:rPr>
        <w:t>、批而未供用地、供而未建用地、竣工违约用地。其中城市</w:t>
      </w:r>
      <w:r>
        <w:rPr>
          <w:rFonts w:ascii="仿宋_GB2312" w:hAnsi="仿宋" w:cs="Times New Roman"/>
          <w:b w:val="0"/>
          <w:bCs w:val="0"/>
          <w:kern w:val="0"/>
          <w:sz w:val="32"/>
          <w:szCs w:val="32"/>
          <w:u w:val="none"/>
        </w:rPr>
        <w:t>更新用地包括</w:t>
      </w:r>
      <w:r>
        <w:rPr>
          <w:rFonts w:hint="eastAsia" w:ascii="仿宋_GB2312" w:hAnsi="仿宋" w:cs="Times New Roman"/>
          <w:b w:val="0"/>
          <w:bCs w:val="0"/>
          <w:kern w:val="0"/>
          <w:sz w:val="32"/>
          <w:szCs w:val="32"/>
          <w:u w:val="none"/>
        </w:rPr>
        <w:t>旧城镇（含老旧小区和烂尾楼）、旧厂房、旧村庄。</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23" w:name="_Toc16659"/>
      <w:r>
        <w:rPr>
          <w:rFonts w:hint="eastAsia"/>
          <w:b w:val="0"/>
          <w:bCs w:val="0"/>
          <w:sz w:val="32"/>
          <w:szCs w:val="32"/>
          <w:u w:val="none"/>
          <w:lang w:val="en-US"/>
        </w:rPr>
        <w:t>统筹土地再利用目标</w:t>
      </w:r>
      <w:bookmarkEnd w:id="121"/>
      <w:bookmarkEnd w:id="122"/>
      <w:bookmarkEnd w:id="123"/>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黑体" w:hAnsi="黑体" w:eastAsia="黑体" w:cs="Times New Roman"/>
          <w:b w:val="0"/>
          <w:bCs w:val="0"/>
          <w:kern w:val="0"/>
          <w:sz w:val="32"/>
          <w:szCs w:val="32"/>
          <w:u w:val="none"/>
          <w:lang w:val="zh-CN"/>
        </w:rPr>
      </w:pPr>
      <w:r>
        <w:rPr>
          <w:rFonts w:hint="eastAsia" w:ascii="仿宋_GB2312" w:hAnsi="仿宋" w:cs="Times New Roman"/>
          <w:b w:val="0"/>
          <w:bCs w:val="0"/>
          <w:kern w:val="0"/>
          <w:sz w:val="32"/>
          <w:szCs w:val="32"/>
          <w:u w:val="none"/>
        </w:rPr>
        <w:t>按照制造业当家</w:t>
      </w:r>
      <w:r>
        <w:rPr>
          <w:rFonts w:ascii="仿宋_GB2312" w:hAnsi="仿宋" w:cs="Times New Roman"/>
          <w:b w:val="0"/>
          <w:bCs w:val="0"/>
          <w:kern w:val="0"/>
          <w:sz w:val="32"/>
          <w:szCs w:val="32"/>
          <w:u w:val="none"/>
        </w:rPr>
        <w:t>、</w:t>
      </w:r>
      <w:r>
        <w:rPr>
          <w:rFonts w:hint="eastAsia" w:ascii="仿宋_GB2312" w:hAnsi="仿宋" w:cs="Times New Roman"/>
          <w:b w:val="0"/>
          <w:bCs w:val="0"/>
          <w:kern w:val="0"/>
          <w:sz w:val="32"/>
          <w:szCs w:val="32"/>
          <w:u w:val="none"/>
        </w:rPr>
        <w:t>绿美广东、</w:t>
      </w:r>
      <w:r>
        <w:rPr>
          <w:rFonts w:ascii="仿宋_GB2312" w:hAnsi="仿宋" w:cs="Times New Roman"/>
          <w:b w:val="0"/>
          <w:bCs w:val="0"/>
          <w:kern w:val="0"/>
          <w:sz w:val="32"/>
          <w:szCs w:val="32"/>
          <w:u w:val="none"/>
        </w:rPr>
        <w:t>百县千镇万村高质量发展工程等广东省委省政府发展战略</w:t>
      </w:r>
      <w:r>
        <w:rPr>
          <w:rFonts w:hint="eastAsia" w:ascii="仿宋_GB2312" w:hAnsi="仿宋" w:cs="Times New Roman"/>
          <w:b w:val="0"/>
          <w:bCs w:val="0"/>
          <w:kern w:val="0"/>
          <w:sz w:val="32"/>
          <w:szCs w:val="32"/>
          <w:u w:val="none"/>
        </w:rPr>
        <w:t>要求，以推动</w:t>
      </w:r>
      <w:r>
        <w:rPr>
          <w:rFonts w:ascii="仿宋_GB2312" w:hAnsi="仿宋" w:cs="Times New Roman"/>
          <w:b w:val="0"/>
          <w:bCs w:val="0"/>
          <w:kern w:val="0"/>
          <w:sz w:val="32"/>
          <w:szCs w:val="32"/>
          <w:u w:val="none"/>
        </w:rPr>
        <w:t>城市</w:t>
      </w:r>
      <w:r>
        <w:rPr>
          <w:rFonts w:hint="eastAsia" w:ascii="仿宋_GB2312" w:hAnsi="仿宋" w:cs="Times New Roman"/>
          <w:b w:val="0"/>
          <w:bCs w:val="0"/>
          <w:kern w:val="0"/>
          <w:sz w:val="32"/>
          <w:szCs w:val="32"/>
          <w:u w:val="none"/>
        </w:rPr>
        <w:t>土地</w:t>
      </w:r>
      <w:r>
        <w:rPr>
          <w:rFonts w:ascii="仿宋_GB2312" w:hAnsi="仿宋" w:cs="Times New Roman"/>
          <w:b w:val="0"/>
          <w:bCs w:val="0"/>
          <w:kern w:val="0"/>
          <w:sz w:val="32"/>
          <w:szCs w:val="32"/>
          <w:u w:val="none"/>
        </w:rPr>
        <w:t>高质量开发</w:t>
      </w:r>
      <w:r>
        <w:rPr>
          <w:rFonts w:hint="eastAsia" w:ascii="仿宋_GB2312" w:hAnsi="仿宋" w:cs="Times New Roman"/>
          <w:b w:val="0"/>
          <w:bCs w:val="0"/>
          <w:kern w:val="0"/>
          <w:sz w:val="32"/>
          <w:szCs w:val="32"/>
          <w:u w:val="none"/>
        </w:rPr>
        <w:t>为</w:t>
      </w:r>
      <w:r>
        <w:rPr>
          <w:rFonts w:ascii="仿宋_GB2312" w:hAnsi="仿宋" w:cs="Times New Roman"/>
          <w:b w:val="0"/>
          <w:bCs w:val="0"/>
          <w:kern w:val="0"/>
          <w:sz w:val="32"/>
          <w:szCs w:val="32"/>
          <w:u w:val="none"/>
        </w:rPr>
        <w:t>目标</w:t>
      </w:r>
      <w:r>
        <w:rPr>
          <w:rFonts w:hint="eastAsia" w:ascii="仿宋_GB2312" w:hAnsi="仿宋" w:cs="Times New Roman"/>
          <w:b w:val="0"/>
          <w:bCs w:val="0"/>
          <w:kern w:val="0"/>
          <w:sz w:val="32"/>
          <w:szCs w:val="32"/>
          <w:u w:val="none"/>
        </w:rPr>
        <w:t>，加强</w:t>
      </w:r>
      <w:r>
        <w:rPr>
          <w:rFonts w:ascii="仿宋_GB2312" w:hAnsi="仿宋" w:cs="Times New Roman"/>
          <w:b w:val="0"/>
          <w:bCs w:val="0"/>
          <w:kern w:val="0"/>
          <w:sz w:val="32"/>
          <w:szCs w:val="32"/>
          <w:u w:val="none"/>
        </w:rPr>
        <w:t>城乡统筹</w:t>
      </w:r>
      <w:r>
        <w:rPr>
          <w:rFonts w:hint="eastAsia" w:ascii="仿宋_GB2312" w:hAnsi="仿宋" w:cs="Times New Roman"/>
          <w:b w:val="0"/>
          <w:bCs w:val="0"/>
          <w:kern w:val="0"/>
          <w:sz w:val="32"/>
          <w:szCs w:val="32"/>
          <w:u w:val="none"/>
        </w:rPr>
        <w:t>，强化</w:t>
      </w:r>
      <w:r>
        <w:rPr>
          <w:rFonts w:ascii="仿宋_GB2312" w:hAnsi="仿宋" w:cs="Times New Roman"/>
          <w:b w:val="0"/>
          <w:bCs w:val="0"/>
          <w:kern w:val="0"/>
          <w:sz w:val="32"/>
          <w:szCs w:val="32"/>
          <w:u w:val="none"/>
        </w:rPr>
        <w:t>建设用地总量</w:t>
      </w:r>
      <w:r>
        <w:rPr>
          <w:rFonts w:hint="eastAsia" w:ascii="仿宋_GB2312" w:hAnsi="仿宋" w:cs="Times New Roman"/>
          <w:b w:val="0"/>
          <w:bCs w:val="0"/>
          <w:kern w:val="0"/>
          <w:sz w:val="32"/>
          <w:szCs w:val="32"/>
          <w:u w:val="none"/>
        </w:rPr>
        <w:t>管控，积极</w:t>
      </w:r>
      <w:r>
        <w:rPr>
          <w:rFonts w:ascii="仿宋_GB2312" w:hAnsi="仿宋" w:cs="Times New Roman"/>
          <w:b w:val="0"/>
          <w:bCs w:val="0"/>
          <w:kern w:val="0"/>
          <w:sz w:val="32"/>
          <w:szCs w:val="32"/>
          <w:u w:val="none"/>
        </w:rPr>
        <w:t>盘活</w:t>
      </w:r>
      <w:r>
        <w:rPr>
          <w:rFonts w:hint="eastAsia" w:ascii="仿宋_GB2312" w:hAnsi="仿宋" w:cs="Times New Roman"/>
          <w:b w:val="0"/>
          <w:bCs w:val="0"/>
          <w:kern w:val="0"/>
          <w:sz w:val="32"/>
          <w:szCs w:val="32"/>
          <w:u w:val="none"/>
        </w:rPr>
        <w:t>再利用土地</w:t>
      </w:r>
      <w:r>
        <w:rPr>
          <w:rFonts w:ascii="仿宋_GB2312" w:hAnsi="仿宋" w:cs="Times New Roman"/>
          <w:b w:val="0"/>
          <w:bCs w:val="0"/>
          <w:kern w:val="0"/>
          <w:sz w:val="32"/>
          <w:szCs w:val="32"/>
          <w:u w:val="none"/>
        </w:rPr>
        <w:t>，</w:t>
      </w:r>
      <w:r>
        <w:rPr>
          <w:rFonts w:hint="eastAsia" w:ascii="仿宋_GB2312" w:hAnsi="仿宋" w:cs="Times New Roman"/>
          <w:b w:val="0"/>
          <w:bCs w:val="0"/>
          <w:kern w:val="0"/>
          <w:sz w:val="32"/>
          <w:szCs w:val="32"/>
          <w:u w:val="none"/>
        </w:rPr>
        <w:t>优化</w:t>
      </w:r>
      <w:r>
        <w:rPr>
          <w:rFonts w:ascii="仿宋_GB2312" w:hAnsi="仿宋" w:cs="Times New Roman"/>
          <w:b w:val="0"/>
          <w:bCs w:val="0"/>
          <w:kern w:val="0"/>
          <w:sz w:val="32"/>
          <w:szCs w:val="32"/>
          <w:u w:val="none"/>
        </w:rPr>
        <w:t>城镇用地结构</w:t>
      </w:r>
      <w:r>
        <w:rPr>
          <w:rFonts w:hint="eastAsia" w:ascii="仿宋_GB2312" w:hAnsi="仿宋" w:cs="Times New Roman"/>
          <w:b w:val="0"/>
          <w:bCs w:val="0"/>
          <w:kern w:val="0"/>
          <w:sz w:val="32"/>
          <w:szCs w:val="32"/>
          <w:u w:val="none"/>
        </w:rPr>
        <w:t>，</w:t>
      </w:r>
      <w:r>
        <w:rPr>
          <w:rFonts w:ascii="仿宋_GB2312" w:hAnsi="仿宋" w:cs="Times New Roman"/>
          <w:b w:val="0"/>
          <w:bCs w:val="0"/>
          <w:kern w:val="0"/>
          <w:sz w:val="32"/>
          <w:szCs w:val="32"/>
          <w:u w:val="none"/>
        </w:rPr>
        <w:t>补齐城市</w:t>
      </w:r>
      <w:r>
        <w:rPr>
          <w:rFonts w:hint="eastAsia" w:ascii="仿宋_GB2312" w:hAnsi="仿宋" w:cs="Times New Roman"/>
          <w:b w:val="0"/>
          <w:bCs w:val="0"/>
          <w:kern w:val="0"/>
          <w:sz w:val="32"/>
          <w:szCs w:val="32"/>
          <w:u w:val="none"/>
        </w:rPr>
        <w:t>功能</w:t>
      </w:r>
      <w:r>
        <w:rPr>
          <w:rFonts w:ascii="仿宋_GB2312" w:hAnsi="仿宋" w:cs="Times New Roman"/>
          <w:b w:val="0"/>
          <w:bCs w:val="0"/>
          <w:kern w:val="0"/>
          <w:sz w:val="32"/>
          <w:szCs w:val="32"/>
          <w:u w:val="none"/>
        </w:rPr>
        <w:t>短板</w:t>
      </w:r>
      <w:r>
        <w:rPr>
          <w:rFonts w:hint="eastAsia" w:ascii="仿宋_GB2312" w:hAnsi="仿宋" w:cs="Times New Roman"/>
          <w:b w:val="0"/>
          <w:bCs w:val="0"/>
          <w:kern w:val="0"/>
          <w:sz w:val="32"/>
          <w:szCs w:val="32"/>
          <w:u w:val="none"/>
        </w:rPr>
        <w:t>，促进经济社会可持续发展。</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24" w:name="_Toc138661926"/>
      <w:bookmarkStart w:id="125" w:name="_Toc14764"/>
      <w:bookmarkStart w:id="126" w:name="_Toc13283"/>
      <w:r>
        <w:rPr>
          <w:rFonts w:hint="eastAsia"/>
          <w:b w:val="0"/>
          <w:bCs w:val="0"/>
          <w:sz w:val="32"/>
          <w:szCs w:val="32"/>
          <w:u w:val="none"/>
          <w:lang w:val="en-US"/>
        </w:rPr>
        <w:t>制定土地再利用</w:t>
      </w:r>
      <w:r>
        <w:rPr>
          <w:b w:val="0"/>
          <w:bCs w:val="0"/>
          <w:sz w:val="32"/>
          <w:szCs w:val="32"/>
          <w:u w:val="none"/>
          <w:lang w:val="en-US"/>
        </w:rPr>
        <w:t>策略</w:t>
      </w:r>
      <w:bookmarkEnd w:id="124"/>
      <w:bookmarkEnd w:id="125"/>
      <w:bookmarkEnd w:id="126"/>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黑体" w:hAnsi="黑体" w:eastAsia="黑体" w:cs="Times New Roman"/>
          <w:b w:val="0"/>
          <w:bCs w:val="0"/>
          <w:kern w:val="0"/>
          <w:sz w:val="32"/>
          <w:szCs w:val="32"/>
          <w:u w:val="none"/>
          <w:lang w:val="zh-CN"/>
        </w:rPr>
      </w:pPr>
      <w:r>
        <w:rPr>
          <w:rFonts w:hint="eastAsia" w:ascii="仿宋_GB2312" w:hAnsi="仿宋" w:cs="Times New Roman"/>
          <w:b w:val="0"/>
          <w:bCs w:val="0"/>
          <w:kern w:val="0"/>
          <w:sz w:val="32"/>
          <w:szCs w:val="32"/>
          <w:u w:val="none"/>
        </w:rPr>
        <w:t>遵循紧凑集约发展原则，盘活再利用土地。分区</w:t>
      </w:r>
      <w:r>
        <w:rPr>
          <w:rFonts w:ascii="仿宋_GB2312" w:hAnsi="仿宋" w:cs="Times New Roman"/>
          <w:b w:val="0"/>
          <w:bCs w:val="0"/>
          <w:kern w:val="0"/>
          <w:sz w:val="32"/>
          <w:szCs w:val="32"/>
          <w:u w:val="none"/>
        </w:rPr>
        <w:t>施策，</w:t>
      </w:r>
      <w:r>
        <w:rPr>
          <w:rFonts w:hint="eastAsia" w:ascii="仿宋_GB2312" w:hAnsi="仿宋" w:cs="Times New Roman"/>
          <w:b w:val="0"/>
          <w:bCs w:val="0"/>
          <w:kern w:val="0"/>
          <w:sz w:val="32"/>
          <w:szCs w:val="32"/>
          <w:u w:val="none"/>
        </w:rPr>
        <w:t>结合城市中心体系和交通网络</w:t>
      </w:r>
      <w:r>
        <w:rPr>
          <w:rFonts w:ascii="仿宋_GB2312" w:hAnsi="仿宋" w:cs="Times New Roman"/>
          <w:b w:val="0"/>
          <w:bCs w:val="0"/>
          <w:kern w:val="0"/>
          <w:sz w:val="32"/>
          <w:szCs w:val="32"/>
          <w:u w:val="none"/>
        </w:rPr>
        <w:t>，</w:t>
      </w:r>
      <w:r>
        <w:rPr>
          <w:rFonts w:hint="eastAsia" w:ascii="仿宋_GB2312" w:hAnsi="仿宋" w:cs="Times New Roman"/>
          <w:b w:val="0"/>
          <w:bCs w:val="0"/>
          <w:kern w:val="0"/>
          <w:sz w:val="32"/>
          <w:szCs w:val="32"/>
          <w:u w:val="none"/>
        </w:rPr>
        <w:t>将</w:t>
      </w:r>
      <w:r>
        <w:rPr>
          <w:rFonts w:ascii="仿宋_GB2312" w:hAnsi="仿宋" w:cs="Times New Roman"/>
          <w:b w:val="0"/>
          <w:bCs w:val="0"/>
          <w:kern w:val="0"/>
          <w:sz w:val="32"/>
          <w:szCs w:val="32"/>
          <w:u w:val="none"/>
        </w:rPr>
        <w:t>土地再利用高价值区域划定为重点区域</w:t>
      </w:r>
      <w:r>
        <w:rPr>
          <w:rFonts w:hint="eastAsia" w:ascii="仿宋_GB2312" w:hAnsi="仿宋" w:cs="Times New Roman"/>
          <w:b w:val="0"/>
          <w:bCs w:val="0"/>
          <w:kern w:val="0"/>
          <w:sz w:val="32"/>
          <w:szCs w:val="32"/>
          <w:u w:val="none"/>
        </w:rPr>
        <w:t>；分类推进</w:t>
      </w:r>
      <w:r>
        <w:rPr>
          <w:rFonts w:ascii="仿宋_GB2312" w:hAnsi="仿宋" w:cs="Times New Roman"/>
          <w:b w:val="0"/>
          <w:bCs w:val="0"/>
          <w:kern w:val="0"/>
          <w:sz w:val="32"/>
          <w:szCs w:val="32"/>
          <w:u w:val="none"/>
        </w:rPr>
        <w:t>，</w:t>
      </w:r>
      <w:r>
        <w:rPr>
          <w:rFonts w:hint="eastAsia" w:ascii="仿宋_GB2312" w:hAnsi="仿宋" w:cs="Times New Roman"/>
          <w:b w:val="0"/>
          <w:bCs w:val="0"/>
          <w:kern w:val="0"/>
          <w:sz w:val="32"/>
          <w:szCs w:val="32"/>
          <w:u w:val="none"/>
        </w:rPr>
        <w:t>结合各类用地特征，推动</w:t>
      </w:r>
      <w:r>
        <w:rPr>
          <w:rFonts w:ascii="仿宋_GB2312" w:hAnsi="仿宋" w:cs="Times New Roman"/>
          <w:b w:val="0"/>
          <w:bCs w:val="0"/>
          <w:kern w:val="0"/>
          <w:sz w:val="32"/>
          <w:szCs w:val="32"/>
          <w:u w:val="none"/>
        </w:rPr>
        <w:t>再利用土地</w:t>
      </w:r>
      <w:r>
        <w:rPr>
          <w:rFonts w:hint="eastAsia" w:ascii="仿宋_GB2312" w:hAnsi="仿宋" w:cs="Times New Roman"/>
          <w:b w:val="0"/>
          <w:bCs w:val="0"/>
          <w:kern w:val="0"/>
          <w:sz w:val="32"/>
          <w:szCs w:val="32"/>
          <w:u w:val="none"/>
        </w:rPr>
        <w:t>盘活</w:t>
      </w:r>
      <w:r>
        <w:rPr>
          <w:rFonts w:ascii="仿宋_GB2312" w:hAnsi="仿宋" w:cs="Times New Roman"/>
          <w:b w:val="0"/>
          <w:bCs w:val="0"/>
          <w:kern w:val="0"/>
          <w:sz w:val="32"/>
          <w:szCs w:val="32"/>
          <w:u w:val="none"/>
        </w:rPr>
        <w:t>，</w:t>
      </w:r>
      <w:r>
        <w:rPr>
          <w:rFonts w:hint="eastAsia" w:ascii="仿宋_GB2312" w:hAnsi="仿宋" w:cs="Times New Roman"/>
          <w:b w:val="0"/>
          <w:bCs w:val="0"/>
          <w:kern w:val="0"/>
          <w:sz w:val="32"/>
          <w:szCs w:val="32"/>
          <w:u w:val="none"/>
        </w:rPr>
        <w:t>提升城市公共设施供给能力，助推产业转型升级。</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27" w:name="_Toc32353"/>
      <w:bookmarkStart w:id="128" w:name="_Toc29579"/>
      <w:bookmarkStart w:id="129" w:name="_Toc138661927"/>
      <w:r>
        <w:rPr>
          <w:rFonts w:hint="eastAsia"/>
          <w:b w:val="0"/>
          <w:bCs w:val="0"/>
          <w:sz w:val="32"/>
          <w:szCs w:val="32"/>
          <w:u w:val="none"/>
          <w:lang w:val="en-US"/>
        </w:rPr>
        <w:t>划定再利用</w:t>
      </w:r>
      <w:r>
        <w:rPr>
          <w:b w:val="0"/>
          <w:bCs w:val="0"/>
          <w:sz w:val="32"/>
          <w:szCs w:val="32"/>
          <w:u w:val="none"/>
          <w:lang w:val="en-US"/>
        </w:rPr>
        <w:t>重点区域</w:t>
      </w:r>
      <w:bookmarkEnd w:id="127"/>
      <w:bookmarkEnd w:id="128"/>
      <w:bookmarkEnd w:id="129"/>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促进重点区域土地高效盘活。根据城市中心体系布局，将重大交通走廊沿线地区及对综合效益提升具有</w:t>
      </w:r>
      <w:r>
        <w:rPr>
          <w:rFonts w:hint="eastAsia" w:ascii="仿宋_GB2312"/>
          <w:b w:val="0"/>
          <w:bCs w:val="0"/>
          <w:sz w:val="32"/>
          <w:szCs w:val="32"/>
          <w:u w:val="none"/>
        </w:rPr>
        <w:t>重要</w:t>
      </w:r>
      <w:r>
        <w:rPr>
          <w:rFonts w:hint="eastAsia" w:ascii="仿宋_GB2312" w:hAnsi="仿宋" w:cs="Times New Roman"/>
          <w:b w:val="0"/>
          <w:bCs w:val="0"/>
          <w:kern w:val="0"/>
          <w:sz w:val="32"/>
          <w:szCs w:val="32"/>
          <w:u w:val="none"/>
        </w:rPr>
        <w:t>意义的地区划定为土地再利用重点区域。东部中心城区与未来科学城侧重以城市更新推动存量资源盘活，实施补短板强弱项行动，完善</w:t>
      </w:r>
      <w:r>
        <w:rPr>
          <w:rFonts w:ascii="仿宋_GB2312" w:hAnsi="仿宋" w:cs="Times New Roman"/>
          <w:b w:val="0"/>
          <w:bCs w:val="0"/>
          <w:kern w:val="0"/>
          <w:sz w:val="32"/>
          <w:szCs w:val="32"/>
          <w:u w:val="none"/>
        </w:rPr>
        <w:t>公共</w:t>
      </w:r>
      <w:r>
        <w:rPr>
          <w:rFonts w:hint="eastAsia" w:ascii="仿宋_GB2312" w:hAnsi="仿宋" w:cs="Times New Roman"/>
          <w:b w:val="0"/>
          <w:bCs w:val="0"/>
          <w:kern w:val="0"/>
          <w:sz w:val="32"/>
          <w:szCs w:val="32"/>
          <w:u w:val="none"/>
        </w:rPr>
        <w:t>服务设施，优化城市功能。“洪保十”组团、西部中心城区、富山工业园和珠海经济技术开发区等侧重以土地整备推动新城开发和重点产业园区建设，推进城区高水平扩容提质，由政府主导整合各类权属用地，统筹土地再利用，解决存量用地历史问题。</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30" w:name="_Toc124"/>
      <w:bookmarkStart w:id="131" w:name="_Toc28709"/>
      <w:bookmarkStart w:id="132" w:name="_Toc138661928"/>
      <w:r>
        <w:rPr>
          <w:rFonts w:hint="eastAsia"/>
          <w:b w:val="0"/>
          <w:bCs w:val="0"/>
          <w:sz w:val="32"/>
          <w:szCs w:val="32"/>
          <w:u w:val="none"/>
          <w:lang w:val="en-US"/>
        </w:rPr>
        <w:t>积极处置批而未供用地</w:t>
      </w:r>
      <w:bookmarkEnd w:id="130"/>
    </w:p>
    <w:bookmarkEnd w:id="131"/>
    <w:bookmarkEnd w:id="132"/>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主动优化土地供应，消化批而未供用地。加快土地平整及规划调整，进一步强化项目落地；完善历史项目补办供地手续、补录数据，建立监督机制保障供地有序开展。</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33" w:name="_Toc31067"/>
      <w:r>
        <w:rPr>
          <w:rFonts w:hint="eastAsia"/>
          <w:b w:val="0"/>
          <w:bCs w:val="0"/>
          <w:sz w:val="32"/>
          <w:szCs w:val="32"/>
          <w:u w:val="none"/>
          <w:lang w:val="en-US"/>
        </w:rPr>
        <w:t>鼓励盘活供而未建用地</w:t>
      </w:r>
      <w:bookmarkEnd w:id="133"/>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遵循“一地一策”原则，严格执行管理规定，加强部门联动，引进优质企业盘活闲置用地，倡导政府统筹建设并统一调配工业厂房或统筹做地，推动供而未建用地盘整激活。</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34" w:name="_Toc25946"/>
      <w:r>
        <w:rPr>
          <w:rFonts w:hint="eastAsia"/>
          <w:b w:val="0"/>
          <w:bCs w:val="0"/>
          <w:sz w:val="32"/>
          <w:szCs w:val="32"/>
          <w:u w:val="none"/>
          <w:lang w:val="en-US"/>
        </w:rPr>
        <w:t>加快整治竣工违约用地</w:t>
      </w:r>
      <w:bookmarkEnd w:id="134"/>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eastAsia="宋体" w:cs="Times New Roman"/>
          <w:b w:val="0"/>
          <w:bCs w:val="0"/>
          <w:sz w:val="32"/>
          <w:szCs w:val="32"/>
          <w:u w:val="none"/>
        </w:rPr>
      </w:pPr>
      <w:r>
        <w:rPr>
          <w:rFonts w:hint="eastAsia" w:ascii="仿宋_GB2312" w:hAnsi="仿宋" w:cs="Times New Roman"/>
          <w:b w:val="0"/>
          <w:bCs w:val="0"/>
          <w:kern w:val="0"/>
          <w:sz w:val="32"/>
          <w:szCs w:val="32"/>
          <w:u w:val="none"/>
        </w:rPr>
        <w:t>加强政府</w:t>
      </w:r>
      <w:r>
        <w:rPr>
          <w:rFonts w:ascii="仿宋_GB2312" w:hAnsi="仿宋" w:cs="Times New Roman"/>
          <w:b w:val="0"/>
          <w:bCs w:val="0"/>
          <w:kern w:val="0"/>
          <w:sz w:val="32"/>
          <w:szCs w:val="32"/>
          <w:u w:val="none"/>
        </w:rPr>
        <w:t>监督，</w:t>
      </w:r>
      <w:r>
        <w:rPr>
          <w:rFonts w:hint="eastAsia" w:ascii="仿宋_GB2312" w:hAnsi="仿宋" w:cs="Times New Roman"/>
          <w:b w:val="0"/>
          <w:bCs w:val="0"/>
          <w:kern w:val="0"/>
          <w:sz w:val="32"/>
          <w:szCs w:val="32"/>
          <w:u w:val="none"/>
        </w:rPr>
        <w:t>督促用地单位尽快竣工；细化调查，</w:t>
      </w:r>
      <w:r>
        <w:rPr>
          <w:rFonts w:ascii="仿宋_GB2312" w:hAnsi="仿宋" w:cs="Times New Roman"/>
          <w:b w:val="0"/>
          <w:bCs w:val="0"/>
          <w:kern w:val="0"/>
          <w:sz w:val="32"/>
          <w:szCs w:val="32"/>
          <w:u w:val="none"/>
        </w:rPr>
        <w:t>明确</w:t>
      </w:r>
      <w:r>
        <w:rPr>
          <w:rFonts w:hint="eastAsia" w:ascii="仿宋_GB2312" w:hAnsi="仿宋" w:cs="Times New Roman"/>
          <w:b w:val="0"/>
          <w:bCs w:val="0"/>
          <w:kern w:val="0"/>
          <w:sz w:val="32"/>
          <w:szCs w:val="32"/>
          <w:u w:val="none"/>
        </w:rPr>
        <w:t>原因，按规定及时处置；符合规划要求的前提下，探索将未建部分用地分割收回。</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35" w:name="_Toc15483"/>
      <w:r>
        <w:rPr>
          <w:rFonts w:hint="eastAsia"/>
          <w:b w:val="0"/>
          <w:bCs w:val="0"/>
          <w:sz w:val="32"/>
          <w:szCs w:val="32"/>
          <w:u w:val="none"/>
          <w:lang w:val="en-US"/>
        </w:rPr>
        <w:t>有序推进城市</w:t>
      </w:r>
      <w:bookmarkStart w:id="136" w:name="_Toc5489"/>
      <w:r>
        <w:rPr>
          <w:rFonts w:hint="eastAsia"/>
          <w:b w:val="0"/>
          <w:bCs w:val="0"/>
          <w:sz w:val="32"/>
          <w:szCs w:val="32"/>
          <w:u w:val="none"/>
          <w:lang w:val="en-US"/>
        </w:rPr>
        <w:t>更新</w:t>
      </w:r>
      <w:bookmarkEnd w:id="135"/>
      <w:bookmarkEnd w:id="136"/>
    </w:p>
    <w:p>
      <w:pPr>
        <w:keepNext w:val="0"/>
        <w:keepLines w:val="0"/>
        <w:pageBreakBefore w:val="0"/>
        <w:widowControl w:val="0"/>
        <w:kinsoku/>
        <w:wordWrap/>
        <w:overflowPunct/>
        <w:topLinePunct w:val="0"/>
        <w:autoSpaceDE/>
        <w:autoSpaceDN/>
        <w:bidi w:val="0"/>
        <w:adjustRightInd/>
        <w:snapToGrid/>
        <w:spacing w:line="579" w:lineRule="exact"/>
        <w:ind w:firstLine="643"/>
        <w:textAlignment w:val="auto"/>
        <w:rPr>
          <w:rFonts w:ascii="黑体" w:hAnsi="黑体" w:eastAsia="黑体" w:cs="Times New Roman"/>
          <w:b w:val="0"/>
          <w:bCs w:val="0"/>
          <w:kern w:val="0"/>
          <w:sz w:val="32"/>
          <w:szCs w:val="32"/>
          <w:u w:val="none"/>
          <w:lang w:val="zh-CN"/>
        </w:rPr>
      </w:pPr>
      <w:r>
        <w:rPr>
          <w:rFonts w:hint="eastAsia" w:ascii="仿宋_GB2312" w:hAnsi="仿宋" w:cs="Times New Roman"/>
          <w:b w:val="0"/>
          <w:bCs w:val="0"/>
          <w:kern w:val="0"/>
          <w:sz w:val="32"/>
          <w:szCs w:val="32"/>
          <w:u w:val="none"/>
        </w:rPr>
        <w:t>改善城市人居环境。坚持把改善民生作为实施城中村改造的出发点和落脚点，采取拆除新建、整治提升、拆整结合等多种方式，积极稳步推进城中旧村改造，改善人居环境，消除各类安全风险隐患。</w:t>
      </w:r>
    </w:p>
    <w:p>
      <w:pPr>
        <w:keepNext w:val="0"/>
        <w:keepLines w:val="0"/>
        <w:pageBreakBefore w:val="0"/>
        <w:widowControl w:val="0"/>
        <w:kinsoku/>
        <w:wordWrap/>
        <w:overflowPunct/>
        <w:topLinePunct w:val="0"/>
        <w:autoSpaceDE/>
        <w:autoSpaceDN/>
        <w:bidi w:val="0"/>
        <w:adjustRightInd/>
        <w:snapToGrid/>
        <w:spacing w:line="579" w:lineRule="exact"/>
        <w:ind w:firstLine="643"/>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助力</w:t>
      </w:r>
      <w:r>
        <w:rPr>
          <w:rFonts w:ascii="仿宋_GB2312" w:hAnsi="仿宋" w:cs="Times New Roman"/>
          <w:b w:val="0"/>
          <w:bCs w:val="0"/>
          <w:kern w:val="0"/>
          <w:sz w:val="32"/>
          <w:szCs w:val="32"/>
          <w:u w:val="none"/>
        </w:rPr>
        <w:t>产业</w:t>
      </w:r>
      <w:r>
        <w:rPr>
          <w:rFonts w:hint="eastAsia" w:ascii="仿宋_GB2312" w:hAnsi="仿宋" w:cs="Times New Roman"/>
          <w:b w:val="0"/>
          <w:bCs w:val="0"/>
          <w:kern w:val="0"/>
          <w:sz w:val="32"/>
          <w:szCs w:val="32"/>
          <w:u w:val="none"/>
        </w:rPr>
        <w:t>迭代</w:t>
      </w:r>
      <w:r>
        <w:rPr>
          <w:rFonts w:ascii="仿宋_GB2312" w:hAnsi="仿宋" w:cs="Times New Roman"/>
          <w:b w:val="0"/>
          <w:bCs w:val="0"/>
          <w:kern w:val="0"/>
          <w:sz w:val="32"/>
          <w:szCs w:val="32"/>
          <w:u w:val="none"/>
        </w:rPr>
        <w:t>升级</w:t>
      </w:r>
      <w:r>
        <w:rPr>
          <w:rFonts w:hint="eastAsia" w:ascii="仿宋_GB2312" w:hAnsi="仿宋" w:cs="Times New Roman"/>
          <w:b w:val="0"/>
          <w:bCs w:val="0"/>
          <w:kern w:val="0"/>
          <w:sz w:val="32"/>
          <w:szCs w:val="32"/>
          <w:u w:val="none"/>
        </w:rPr>
        <w:t>。鼓励旧厂房“工改工”“工业上楼”，持续探索出台政策措施，支持产业提</w:t>
      </w:r>
      <w:r>
        <w:rPr>
          <w:rFonts w:ascii="仿宋_GB2312" w:hAnsi="仿宋" w:cs="Times New Roman"/>
          <w:b w:val="0"/>
          <w:bCs w:val="0"/>
          <w:kern w:val="0"/>
          <w:sz w:val="32"/>
          <w:szCs w:val="32"/>
          <w:u w:val="none"/>
        </w:rPr>
        <w:t>质</w:t>
      </w:r>
      <w:r>
        <w:rPr>
          <w:rFonts w:hint="eastAsia" w:ascii="仿宋_GB2312" w:hAnsi="仿宋" w:cs="Times New Roman"/>
          <w:b w:val="0"/>
          <w:bCs w:val="0"/>
          <w:kern w:val="0"/>
          <w:sz w:val="32"/>
          <w:szCs w:val="32"/>
          <w:u w:val="none"/>
        </w:rPr>
        <w:t>增效，助力做优做强</w:t>
      </w:r>
      <w:r>
        <w:rPr>
          <w:rFonts w:ascii="仿宋_GB2312" w:hAnsi="仿宋" w:cs="Times New Roman"/>
          <w:b w:val="0"/>
          <w:bCs w:val="0"/>
          <w:kern w:val="0"/>
          <w:sz w:val="32"/>
          <w:szCs w:val="32"/>
          <w:u w:val="none"/>
        </w:rPr>
        <w:t>制造业，</w:t>
      </w:r>
      <w:r>
        <w:rPr>
          <w:rFonts w:hint="eastAsia" w:ascii="仿宋_GB2312" w:hAnsi="仿宋" w:cs="Times New Roman"/>
          <w:b w:val="0"/>
          <w:bCs w:val="0"/>
          <w:kern w:val="0"/>
          <w:sz w:val="32"/>
          <w:szCs w:val="32"/>
          <w:u w:val="none"/>
        </w:rPr>
        <w:t>有效</w:t>
      </w:r>
      <w:r>
        <w:rPr>
          <w:rFonts w:ascii="仿宋_GB2312" w:hAnsi="仿宋" w:cs="Times New Roman"/>
          <w:b w:val="0"/>
          <w:bCs w:val="0"/>
          <w:kern w:val="0"/>
          <w:sz w:val="32"/>
          <w:szCs w:val="32"/>
          <w:u w:val="none"/>
        </w:rPr>
        <w:t>推进现代化产业体系</w:t>
      </w:r>
      <w:r>
        <w:rPr>
          <w:rFonts w:hint="eastAsia" w:ascii="仿宋_GB2312" w:hAnsi="仿宋" w:cs="Times New Roman"/>
          <w:b w:val="0"/>
          <w:bCs w:val="0"/>
          <w:kern w:val="0"/>
          <w:sz w:val="32"/>
          <w:szCs w:val="32"/>
          <w:u w:val="none"/>
        </w:rPr>
        <w:t>建设</w:t>
      </w:r>
      <w:r>
        <w:rPr>
          <w:rFonts w:ascii="仿宋_GB2312" w:hAnsi="仿宋" w:cs="Times New Roman"/>
          <w:b w:val="0"/>
          <w:bCs w:val="0"/>
          <w:kern w:val="0"/>
          <w:sz w:val="32"/>
          <w:szCs w:val="32"/>
          <w:u w:val="none"/>
        </w:rPr>
        <w:t>。</w:t>
      </w:r>
      <w:r>
        <w:rPr>
          <w:rFonts w:hint="eastAsia" w:ascii="仿宋_GB2312" w:hAnsi="仿宋" w:cs="Times New Roman"/>
          <w:b w:val="0"/>
          <w:bCs w:val="0"/>
          <w:kern w:val="0"/>
          <w:sz w:val="32"/>
          <w:szCs w:val="32"/>
          <w:u w:val="none"/>
        </w:rPr>
        <w:t>妥善处理历史遗留问题，积极推动分类处置</w:t>
      </w:r>
      <w:r>
        <w:rPr>
          <w:rFonts w:ascii="仿宋_GB2312" w:hAnsi="仿宋" w:cs="Times New Roman"/>
          <w:b w:val="0"/>
          <w:bCs w:val="0"/>
          <w:kern w:val="0"/>
          <w:sz w:val="32"/>
          <w:szCs w:val="32"/>
          <w:u w:val="none"/>
        </w:rPr>
        <w:t>；</w:t>
      </w:r>
      <w:r>
        <w:rPr>
          <w:rFonts w:hint="eastAsia" w:ascii="仿宋_GB2312" w:hAnsi="仿宋" w:cs="Times New Roman"/>
          <w:b w:val="0"/>
          <w:bCs w:val="0"/>
          <w:kern w:val="0"/>
          <w:sz w:val="32"/>
          <w:szCs w:val="32"/>
          <w:u w:val="none"/>
        </w:rPr>
        <w:t>强化工业控制线内旧厂房规范管理，</w:t>
      </w:r>
      <w:r>
        <w:rPr>
          <w:rFonts w:ascii="仿宋_GB2312" w:hAnsi="仿宋" w:cs="Times New Roman"/>
          <w:b w:val="0"/>
          <w:bCs w:val="0"/>
          <w:kern w:val="0"/>
          <w:sz w:val="32"/>
          <w:szCs w:val="32"/>
          <w:u w:val="none"/>
        </w:rPr>
        <w:t>完善产业园区配套服务</w:t>
      </w:r>
      <w:r>
        <w:rPr>
          <w:rFonts w:hint="eastAsia" w:ascii="仿宋_GB2312" w:hAnsi="仿宋" w:cs="Times New Roman"/>
          <w:b w:val="0"/>
          <w:bCs w:val="0"/>
          <w:kern w:val="0"/>
          <w:sz w:val="32"/>
          <w:szCs w:val="32"/>
          <w:u w:val="none"/>
        </w:rPr>
        <w:t>，助推实施大产业、大平台、大项目、大企业、大环境“五大提升行动”，</w:t>
      </w:r>
      <w:r>
        <w:rPr>
          <w:rFonts w:ascii="仿宋_GB2312" w:hAnsi="仿宋" w:cs="Times New Roman"/>
          <w:b w:val="0"/>
          <w:bCs w:val="0"/>
          <w:kern w:val="0"/>
          <w:sz w:val="32"/>
          <w:szCs w:val="32"/>
          <w:u w:val="none"/>
        </w:rPr>
        <w:t>着力保障</w:t>
      </w:r>
      <w:r>
        <w:rPr>
          <w:rFonts w:hint="eastAsia" w:ascii="仿宋_GB2312" w:hAnsi="仿宋" w:cs="Times New Roman"/>
          <w:b w:val="0"/>
          <w:bCs w:val="0"/>
          <w:kern w:val="0"/>
          <w:sz w:val="32"/>
          <w:szCs w:val="32"/>
          <w:u w:val="none"/>
        </w:rPr>
        <w:t>制造业高质量发展。</w:t>
      </w:r>
    </w:p>
    <w:p>
      <w:pPr>
        <w:keepNext w:val="0"/>
        <w:keepLines w:val="0"/>
        <w:pageBreakBefore w:val="0"/>
        <w:widowControl w:val="0"/>
        <w:kinsoku/>
        <w:wordWrap/>
        <w:overflowPunct/>
        <w:topLinePunct w:val="0"/>
        <w:autoSpaceDE/>
        <w:autoSpaceDN/>
        <w:bidi w:val="0"/>
        <w:adjustRightInd/>
        <w:snapToGrid/>
        <w:spacing w:line="579" w:lineRule="exact"/>
        <w:ind w:firstLine="643"/>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促进城市</w:t>
      </w:r>
      <w:r>
        <w:rPr>
          <w:rFonts w:ascii="仿宋_GB2312" w:hAnsi="仿宋" w:cs="Times New Roman"/>
          <w:b w:val="0"/>
          <w:bCs w:val="0"/>
          <w:kern w:val="0"/>
          <w:sz w:val="32"/>
          <w:szCs w:val="32"/>
          <w:u w:val="none"/>
        </w:rPr>
        <w:t>品质提升</w:t>
      </w:r>
      <w:r>
        <w:rPr>
          <w:rFonts w:hint="eastAsia" w:ascii="仿宋_GB2312" w:hAnsi="仿宋" w:cs="Times New Roman"/>
          <w:b w:val="0"/>
          <w:bCs w:val="0"/>
          <w:kern w:val="0"/>
          <w:sz w:val="32"/>
          <w:szCs w:val="32"/>
          <w:u w:val="none"/>
        </w:rPr>
        <w:t>。以综合整治、连片改造为主实施旧城镇有机更新，局部重点区域可适当实施连片全面改造或混合改造，推进拆违建绿，加强立体绿化美化。加快实施老旧小区更新，推广社区参与式规划，推进软硬件设施同步提升，补齐社区短板，提升社区居住品质和城市宜居度。通过政府推动、市场运作整治烂尾楼，盘活土地资源、处理历史遗留问题、创建良好的市容市貌。</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37" w:name="_Toc5910"/>
      <w:bookmarkStart w:id="138" w:name="_Toc18666"/>
      <w:r>
        <w:rPr>
          <w:rFonts w:hint="eastAsia"/>
          <w:b w:val="0"/>
          <w:bCs w:val="0"/>
          <w:sz w:val="32"/>
          <w:szCs w:val="32"/>
          <w:u w:val="none"/>
          <w:lang w:val="en-US"/>
        </w:rPr>
        <w:t>加强更新规划统筹</w:t>
      </w:r>
      <w:bookmarkEnd w:id="137"/>
      <w:bookmarkEnd w:id="138"/>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cs="Times New Roman"/>
          <w:b w:val="0"/>
          <w:bCs w:val="0"/>
          <w:sz w:val="32"/>
          <w:szCs w:val="32"/>
          <w:u w:val="none"/>
          <w:lang w:val="zh-CN"/>
        </w:rPr>
      </w:pPr>
      <w:r>
        <w:rPr>
          <w:rFonts w:hint="eastAsia" w:ascii="仿宋_GB2312" w:hAnsi="仿宋" w:cs="Times New Roman"/>
          <w:b w:val="0"/>
          <w:bCs w:val="0"/>
          <w:kern w:val="0"/>
          <w:sz w:val="32"/>
          <w:szCs w:val="32"/>
          <w:u w:val="none"/>
        </w:rPr>
        <w:t>注重“留改拆”统筹协调，衔接国土空间规划划定城市更新单元研究范围。加强市级层面城中村改造专项规划引导，明确城中村改造时序、更新策略，分期分类推进旧村</w:t>
      </w:r>
      <w:r>
        <w:rPr>
          <w:rFonts w:hint="eastAsia" w:ascii="仿宋_GB2312"/>
          <w:b w:val="0"/>
          <w:bCs w:val="0"/>
          <w:sz w:val="32"/>
          <w:szCs w:val="32"/>
          <w:u w:val="none"/>
        </w:rPr>
        <w:t>改造</w:t>
      </w:r>
      <w:r>
        <w:rPr>
          <w:rFonts w:hint="eastAsia" w:ascii="仿宋_GB2312" w:hAnsi="仿宋" w:cs="Times New Roman"/>
          <w:b w:val="0"/>
          <w:bCs w:val="0"/>
          <w:kern w:val="0"/>
          <w:sz w:val="32"/>
          <w:szCs w:val="32"/>
          <w:u w:val="none"/>
        </w:rPr>
        <w:t>。探索建立“政府先定开发条件、市场再行改造工作”的旧村改造规划管控机制，提升城市功能和项目品质。不断理顺更新项目规划事权，充分调动各级部门参与城市更新的积极性，确保总体规划各项要求传导到位，实现一张蓝图管到底。</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39" w:name="_Toc20765"/>
      <w:bookmarkStart w:id="140" w:name="_Toc1172"/>
      <w:r>
        <w:rPr>
          <w:rFonts w:hint="eastAsia"/>
          <w:b w:val="0"/>
          <w:bCs w:val="0"/>
          <w:sz w:val="32"/>
          <w:szCs w:val="32"/>
          <w:u w:val="none"/>
          <w:lang w:val="en-US"/>
        </w:rPr>
        <w:t>鼓励探索成片更新</w:t>
      </w:r>
      <w:bookmarkEnd w:id="139"/>
      <w:bookmarkEnd w:id="140"/>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探索按照统筹做地模式推进城市更新。立足城市整体利益，打破项目宗地思维，实施片区更新，通过协调整合邻里单元内不同实施主体所属用地，有序引导土地集中、成片开发，促进公共设施、公共</w:t>
      </w:r>
      <w:r>
        <w:rPr>
          <w:rFonts w:ascii="仿宋_GB2312" w:hAnsi="仿宋" w:cs="Times New Roman"/>
          <w:b w:val="0"/>
          <w:bCs w:val="0"/>
          <w:kern w:val="0"/>
          <w:sz w:val="32"/>
          <w:szCs w:val="32"/>
          <w:u w:val="none"/>
        </w:rPr>
        <w:t>绿地</w:t>
      </w:r>
      <w:r>
        <w:rPr>
          <w:rFonts w:hint="eastAsia" w:ascii="仿宋_GB2312" w:hAnsi="仿宋" w:cs="Times New Roman"/>
          <w:b w:val="0"/>
          <w:bCs w:val="0"/>
          <w:kern w:val="0"/>
          <w:sz w:val="32"/>
          <w:szCs w:val="32"/>
          <w:u w:val="none"/>
        </w:rPr>
        <w:t>按规划落地实施。坚持配套先行、环境优先、功能完善的更新策略，在满足基本配套设施需求的基础上，积极将优质公共资源引入片区更新。</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41" w:name="_Toc13383"/>
      <w:bookmarkStart w:id="142" w:name="_Toc11104"/>
      <w:r>
        <w:rPr>
          <w:rFonts w:hint="eastAsia"/>
          <w:b w:val="0"/>
          <w:bCs w:val="0"/>
          <w:sz w:val="32"/>
          <w:szCs w:val="32"/>
          <w:u w:val="none"/>
          <w:lang w:val="en-US"/>
        </w:rPr>
        <w:t>积极</w:t>
      </w:r>
      <w:r>
        <w:rPr>
          <w:b w:val="0"/>
          <w:bCs w:val="0"/>
          <w:sz w:val="32"/>
          <w:szCs w:val="32"/>
          <w:u w:val="none"/>
          <w:lang w:val="en-US"/>
        </w:rPr>
        <w:t>开展</w:t>
      </w:r>
      <w:r>
        <w:rPr>
          <w:rFonts w:hint="eastAsia"/>
          <w:b w:val="0"/>
          <w:bCs w:val="0"/>
          <w:sz w:val="32"/>
          <w:szCs w:val="32"/>
          <w:u w:val="none"/>
          <w:lang w:val="en-US"/>
        </w:rPr>
        <w:t>有机更新</w:t>
      </w:r>
      <w:bookmarkEnd w:id="141"/>
      <w:bookmarkEnd w:id="142"/>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hAnsi="仿宋" w:cs="Times New Roman"/>
          <w:b w:val="0"/>
          <w:bCs w:val="0"/>
          <w:kern w:val="0"/>
          <w:sz w:val="32"/>
          <w:szCs w:val="32"/>
          <w:u w:val="none"/>
        </w:rPr>
        <w:t>鼓励采用渐进式、可持续的有机更新模式，保留历史机理，促进老城区风貌改善、功能完善，提升城市活力。</w:t>
      </w:r>
      <w:r>
        <w:rPr>
          <w:rFonts w:hint="eastAsia" w:ascii="仿宋_GB2312"/>
          <w:b w:val="0"/>
          <w:bCs w:val="0"/>
          <w:sz w:val="32"/>
          <w:szCs w:val="32"/>
          <w:u w:val="none"/>
        </w:rPr>
        <w:t>全面</w:t>
      </w:r>
      <w:r>
        <w:rPr>
          <w:rFonts w:hint="eastAsia" w:ascii="仿宋_GB2312" w:hAnsi="仿宋" w:cs="Times New Roman"/>
          <w:b w:val="0"/>
          <w:bCs w:val="0"/>
          <w:kern w:val="0"/>
          <w:sz w:val="32"/>
          <w:szCs w:val="32"/>
          <w:u w:val="none"/>
        </w:rPr>
        <w:t>开展综合整治，加强历史遗存、特色古村落、传统村落保护更新工作，加强文物安全保护，应保尽保、以用促保，实施古树名木保护提升行动，最大限度避让古树名木，留住乡愁记忆，实现人居环境改善和历史文脉传承的双赢。</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firstLine="600"/>
        <w:textAlignment w:val="auto"/>
        <w:rPr>
          <w:b w:val="0"/>
          <w:bCs w:val="0"/>
          <w:sz w:val="32"/>
          <w:szCs w:val="32"/>
          <w:u w:val="none"/>
        </w:rPr>
      </w:pPr>
      <w:r>
        <w:rPr>
          <w:rFonts w:eastAsia="仿宋_GB2312" w:cs="黑体"/>
          <w:b w:val="0"/>
          <w:bCs w:val="0"/>
          <w:sz w:val="32"/>
          <w:szCs w:val="32"/>
          <w:u w:val="none"/>
        </w:rPr>
        <w:br w:type="page"/>
      </w:r>
      <w:bookmarkStart w:id="143" w:name="_Toc29584"/>
      <w:bookmarkStart w:id="144" w:name="_Toc119633171"/>
      <w:r>
        <w:rPr>
          <w:rFonts w:hint="eastAsia" w:ascii="方正小标宋简体" w:hAnsi="方正小标宋简体" w:eastAsia="方正小标宋简体" w:cs="方正小标宋简体"/>
          <w:b w:val="0"/>
          <w:bCs w:val="0"/>
          <w:sz w:val="44"/>
          <w:szCs w:val="44"/>
          <w:u w:val="none"/>
        </w:rPr>
        <w:t>中心城区</w:t>
      </w:r>
      <w:bookmarkEnd w:id="143"/>
    </w:p>
    <w:p>
      <w:pPr>
        <w:pStyle w:val="81"/>
        <w:keepNext w:val="0"/>
        <w:keepLines w:val="0"/>
        <w:pageBreakBefore w:val="0"/>
        <w:widowControl w:val="0"/>
        <w:numPr>
          <w:ilvl w:val="0"/>
          <w:numId w:val="9"/>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145" w:name="_Toc18295"/>
      <w:r>
        <w:rPr>
          <w:rFonts w:hint="eastAsia"/>
          <w:b w:val="0"/>
          <w:bCs w:val="0"/>
          <w:sz w:val="32"/>
          <w:szCs w:val="32"/>
          <w:u w:val="none"/>
        </w:rPr>
        <w:t>定位与策略</w:t>
      </w:r>
      <w:bookmarkEnd w:id="145"/>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146" w:name="_Toc24523"/>
      <w:r>
        <w:rPr>
          <w:rFonts w:hint="eastAsia"/>
          <w:b w:val="0"/>
          <w:bCs w:val="0"/>
          <w:sz w:val="32"/>
          <w:szCs w:val="32"/>
          <w:u w:val="none"/>
        </w:rPr>
        <w:t>总体</w:t>
      </w:r>
      <w:r>
        <w:rPr>
          <w:rFonts w:hint="eastAsia"/>
          <w:b w:val="0"/>
          <w:bCs w:val="0"/>
          <w:sz w:val="32"/>
          <w:szCs w:val="32"/>
          <w:u w:val="none"/>
          <w:lang w:val="en-US"/>
        </w:rPr>
        <w:t>定位</w:t>
      </w:r>
      <w:bookmarkEnd w:id="146"/>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破解中心城区发展难题，做优做强核心功能，深化对澳合作与服务，提升公共服务品质，扩大特色宜居优势，承担全市行政文化中心、对澳多元服务、港澳重要门户</w:t>
      </w:r>
      <w:r>
        <w:rPr>
          <w:rFonts w:hint="eastAsia"/>
          <w:b w:val="0"/>
          <w:bCs w:val="0"/>
          <w:sz w:val="32"/>
          <w:szCs w:val="32"/>
          <w:u w:val="none"/>
        </w:rPr>
        <w:t>功能</w:t>
      </w:r>
      <w:r>
        <w:rPr>
          <w:rFonts w:hint="eastAsia" w:ascii="仿宋_GB2312"/>
          <w:b w:val="0"/>
          <w:bCs w:val="0"/>
          <w:sz w:val="32"/>
          <w:szCs w:val="32"/>
          <w:u w:val="none"/>
        </w:rPr>
        <w:t>，建设生态文明新特区示范区、珠港澳融合发展示范区、湾区极点门户、湾区西岸产创融合高地、国际宜居宜业宜游城区。</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147" w:name="_Toc20069"/>
      <w:r>
        <w:rPr>
          <w:rFonts w:hint="eastAsia"/>
          <w:b w:val="0"/>
          <w:bCs w:val="0"/>
          <w:sz w:val="32"/>
          <w:szCs w:val="32"/>
          <w:u w:val="none"/>
        </w:rPr>
        <w:t>坚定“强心聚能”</w:t>
      </w:r>
      <w:bookmarkEnd w:id="147"/>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加快建成东部市级综合服务中心、吉大旅游服务中心、拱北商贸中心，完善十字门会展中心，促进一批市级公共设施在中心区集中建设，提升中心城区服务能级。加快建设“洪保十”、</w:t>
      </w:r>
      <w:r>
        <w:rPr>
          <w:rFonts w:hint="eastAsia"/>
          <w:b w:val="0"/>
          <w:bCs w:val="0"/>
          <w:sz w:val="32"/>
          <w:szCs w:val="32"/>
          <w:u w:val="none"/>
        </w:rPr>
        <w:t>凤山</w:t>
      </w:r>
      <w:r>
        <w:rPr>
          <w:rFonts w:hint="eastAsia" w:ascii="仿宋_GB2312"/>
          <w:b w:val="0"/>
          <w:bCs w:val="0"/>
          <w:sz w:val="32"/>
          <w:szCs w:val="32"/>
          <w:u w:val="none"/>
        </w:rPr>
        <w:t>等组团中心，</w:t>
      </w:r>
      <w:r>
        <w:rPr>
          <w:rFonts w:hint="eastAsia"/>
          <w:b w:val="0"/>
          <w:bCs w:val="0"/>
          <w:sz w:val="32"/>
          <w:szCs w:val="32"/>
          <w:u w:val="none"/>
        </w:rPr>
        <w:t>完善狮山-香湾、前山、拱北、梅华-翠香</w:t>
      </w:r>
      <w:r>
        <w:rPr>
          <w:rFonts w:hint="eastAsia" w:ascii="仿宋_GB2312"/>
          <w:b w:val="0"/>
          <w:bCs w:val="0"/>
          <w:sz w:val="32"/>
          <w:szCs w:val="32"/>
          <w:u w:val="none"/>
        </w:rPr>
        <w:t>等组团中心，优化城市服务功能。多措并举补充社区公共服务设施，因地制宜构建邻里中心网络。</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148" w:name="_Toc16585"/>
      <w:r>
        <w:rPr>
          <w:rFonts w:hint="eastAsia"/>
          <w:b w:val="0"/>
          <w:bCs w:val="0"/>
          <w:sz w:val="32"/>
          <w:szCs w:val="32"/>
          <w:u w:val="none"/>
        </w:rPr>
        <w:t>促进“融合发展”</w:t>
      </w:r>
      <w:bookmarkEnd w:id="148"/>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支撑新阶段粤港澳大湾区建设，全力支持服务横琴粤澳深度合作区建设，强化与澳门全方位协同发展，高水平建设环澳门、横琴地区。加强与澳门及横琴粤澳深度合作区的交通衔接，优化口岸功能分工，推动供水、供电、供气等基础设施互联互通。依托十字门会展中心、粤港澳物流园、珠澳跨境工业区等平台，积极承接澳门及横琴粤澳深度合作区会展商贸、跨境物流、科技研发和高端制造等功能外溢。围绕澳门及横琴粤澳深度合作区高层次人才和青年需求，在“洪保十”、湾仔地区布局高品质公共服务和居住配套设施，营造国际一流的创新发展和生活环境。</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149" w:name="_Toc16436"/>
      <w:r>
        <w:rPr>
          <w:rFonts w:hint="eastAsia"/>
          <w:b w:val="0"/>
          <w:bCs w:val="0"/>
          <w:sz w:val="32"/>
          <w:szCs w:val="32"/>
          <w:u w:val="none"/>
        </w:rPr>
        <w:t>坚持“中高</w:t>
      </w:r>
      <w:r>
        <w:rPr>
          <w:rFonts w:hint="eastAsia"/>
          <w:b w:val="0"/>
          <w:bCs w:val="0"/>
          <w:sz w:val="32"/>
          <w:szCs w:val="32"/>
          <w:u w:val="none"/>
          <w:lang w:val="en-US"/>
        </w:rPr>
        <w:t>密度</w:t>
      </w:r>
      <w:r>
        <w:rPr>
          <w:rFonts w:hint="eastAsia"/>
          <w:b w:val="0"/>
          <w:bCs w:val="0"/>
          <w:sz w:val="32"/>
          <w:szCs w:val="32"/>
          <w:u w:val="none"/>
        </w:rPr>
        <w:t>”</w:t>
      </w:r>
      <w:bookmarkEnd w:id="149"/>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根据公共服务设施承载力，制定疏密有度的人口密度分区，形成人口与资源匹配的城市空间。到</w:t>
      </w:r>
      <w:r>
        <w:rPr>
          <w:rFonts w:hint="eastAsia"/>
          <w:b w:val="0"/>
          <w:bCs w:val="0"/>
          <w:sz w:val="32"/>
          <w:szCs w:val="32"/>
          <w:u w:val="none"/>
        </w:rPr>
        <w:t>2035</w:t>
      </w:r>
      <w:r>
        <w:rPr>
          <w:rFonts w:hint="eastAsia" w:ascii="仿宋_GB2312"/>
          <w:b w:val="0"/>
          <w:bCs w:val="0"/>
          <w:sz w:val="32"/>
          <w:szCs w:val="32"/>
          <w:u w:val="none"/>
        </w:rPr>
        <w:t>年，人口密度控制在</w:t>
      </w:r>
      <w:r>
        <w:rPr>
          <w:rFonts w:hint="eastAsia"/>
          <w:b w:val="0"/>
          <w:bCs w:val="0"/>
          <w:sz w:val="32"/>
          <w:szCs w:val="32"/>
          <w:u w:val="none"/>
        </w:rPr>
        <w:t>14000</w:t>
      </w:r>
      <w:r>
        <w:rPr>
          <w:rFonts w:hint="eastAsia" w:ascii="仿宋_GB2312"/>
          <w:b w:val="0"/>
          <w:bCs w:val="0"/>
          <w:sz w:val="32"/>
          <w:szCs w:val="32"/>
          <w:u w:val="none"/>
        </w:rPr>
        <w:t>-</w:t>
      </w:r>
      <w:r>
        <w:rPr>
          <w:rFonts w:hint="eastAsia"/>
          <w:b w:val="0"/>
          <w:bCs w:val="0"/>
          <w:sz w:val="32"/>
          <w:szCs w:val="32"/>
          <w:u w:val="none"/>
        </w:rPr>
        <w:t>16000</w:t>
      </w:r>
      <w:r>
        <w:rPr>
          <w:rFonts w:hint="eastAsia" w:ascii="仿宋_GB2312"/>
          <w:b w:val="0"/>
          <w:bCs w:val="0"/>
          <w:sz w:val="32"/>
          <w:szCs w:val="32"/>
          <w:u w:val="none"/>
        </w:rPr>
        <w:t>人/平方公里以内。</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150" w:name="_Toc19100"/>
      <w:r>
        <w:rPr>
          <w:rFonts w:hint="eastAsia"/>
          <w:b w:val="0"/>
          <w:bCs w:val="0"/>
          <w:sz w:val="32"/>
          <w:szCs w:val="32"/>
          <w:u w:val="none"/>
        </w:rPr>
        <w:t>实施“双增双控”</w:t>
      </w:r>
      <w:bookmarkEnd w:id="150"/>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增加公共服务设施和公共绿地，新增用地和存量更新优先用于补齐社区级公服设施及公共</w:t>
      </w:r>
      <w:r>
        <w:rPr>
          <w:rFonts w:hint="eastAsia"/>
          <w:b w:val="0"/>
          <w:bCs w:val="0"/>
          <w:sz w:val="32"/>
          <w:szCs w:val="32"/>
          <w:u w:val="none"/>
        </w:rPr>
        <w:t>绿地</w:t>
      </w:r>
      <w:r>
        <w:rPr>
          <w:rFonts w:hint="eastAsia" w:ascii="仿宋_GB2312"/>
          <w:b w:val="0"/>
          <w:bCs w:val="0"/>
          <w:sz w:val="32"/>
          <w:szCs w:val="32"/>
          <w:u w:val="none"/>
        </w:rPr>
        <w:t>缺口。充分挖掘现状存量空间，延伸和补充绿地的服务半径，提升街区、社区品质与活力。控制建筑高度和人口规模，执行宜居导向开发强度的相关规定。</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151" w:name="_Toc11295"/>
      <w:r>
        <w:rPr>
          <w:rFonts w:hint="eastAsia"/>
          <w:b w:val="0"/>
          <w:bCs w:val="0"/>
          <w:sz w:val="32"/>
          <w:szCs w:val="32"/>
          <w:u w:val="none"/>
        </w:rPr>
        <w:t>推进“集聚提效”</w:t>
      </w:r>
      <w:bookmarkEnd w:id="151"/>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坚持制造业当家，实施制造业创新驱动工程，积极承担大湾区的智能制造功能，加快推进先进制造业转型升级，重点推进战略性新兴产业、先进制造业等产业项目向工业园区内集中布局。推动零散低效工业用地向产业园区腾挪集聚，推进白沙科创港、三溪科创城、前山格力工业园、翠珠-翠景工业区、南屏生态科技城旧厂房改造升级，完善园区配套设施建设，支撑产业提质增效，做大做强产业平台。</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152" w:name="_Toc30036"/>
      <w:r>
        <w:rPr>
          <w:rFonts w:hint="eastAsia"/>
          <w:b w:val="0"/>
          <w:bCs w:val="0"/>
          <w:sz w:val="32"/>
          <w:szCs w:val="32"/>
          <w:u w:val="none"/>
        </w:rPr>
        <w:t>加快“优网</w:t>
      </w:r>
      <w:r>
        <w:rPr>
          <w:rFonts w:hint="eastAsia"/>
          <w:b w:val="0"/>
          <w:bCs w:val="0"/>
          <w:sz w:val="32"/>
          <w:szCs w:val="32"/>
          <w:u w:val="none"/>
          <w:lang w:val="en-US"/>
        </w:rPr>
        <w:t>畅行</w:t>
      </w:r>
      <w:r>
        <w:rPr>
          <w:rFonts w:hint="eastAsia"/>
          <w:b w:val="0"/>
          <w:bCs w:val="0"/>
          <w:sz w:val="32"/>
          <w:szCs w:val="32"/>
          <w:u w:val="none"/>
        </w:rPr>
        <w:t>”</w:t>
      </w:r>
      <w:bookmarkEnd w:id="152"/>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加快构建快速便捷的对外联系交通网络，打造结构合理、高效衔接的道路网络，提供优质服务的公共交通网络，规划依山傍水的多元化慢行休闲网络，提升中心城区交通供给和交通承载力。加强中心城区交通综合治理，缓解通勤通道和景点的交通拥堵，差异化停车供给调节出行结构，保障中心城区交通高效与畅顺。</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153" w:name="_Toc16553"/>
      <w:r>
        <w:rPr>
          <w:rFonts w:hint="eastAsia"/>
          <w:b w:val="0"/>
          <w:bCs w:val="0"/>
          <w:sz w:val="32"/>
          <w:szCs w:val="32"/>
          <w:u w:val="none"/>
        </w:rPr>
        <w:t>实现“显山亮水”</w:t>
      </w:r>
      <w:bookmarkEnd w:id="153"/>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加强城市设计管控，促进对山水资源的保护和山水景观的利用，丰富滨海公共空间，优化城市群形象，凸显“山海相拥、陆岛相望”的城市环境意象，严控山脊线、天际线、水岸线。强化空间环境精细化管理，深化生态内涵，彰显城市特色。</w:t>
      </w:r>
    </w:p>
    <w:p>
      <w:pPr>
        <w:pStyle w:val="81"/>
        <w:keepNext w:val="0"/>
        <w:keepLines w:val="0"/>
        <w:pageBreakBefore w:val="0"/>
        <w:widowControl w:val="0"/>
        <w:numPr>
          <w:ilvl w:val="0"/>
          <w:numId w:val="9"/>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154" w:name="_Toc22845"/>
      <w:r>
        <w:rPr>
          <w:rFonts w:hint="eastAsia"/>
          <w:b w:val="0"/>
          <w:bCs w:val="0"/>
          <w:sz w:val="32"/>
          <w:szCs w:val="32"/>
          <w:u w:val="none"/>
        </w:rPr>
        <w:t>功能分区与土地利用</w:t>
      </w:r>
      <w:bookmarkEnd w:id="154"/>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155" w:name="_Toc4478"/>
      <w:r>
        <w:rPr>
          <w:rFonts w:hint="eastAsia"/>
          <w:b w:val="0"/>
          <w:bCs w:val="0"/>
          <w:sz w:val="32"/>
          <w:szCs w:val="32"/>
          <w:u w:val="none"/>
        </w:rPr>
        <w:t>明确</w:t>
      </w:r>
      <w:r>
        <w:rPr>
          <w:rFonts w:hint="eastAsia"/>
          <w:b w:val="0"/>
          <w:bCs w:val="0"/>
          <w:sz w:val="32"/>
          <w:szCs w:val="32"/>
          <w:u w:val="none"/>
          <w:lang w:val="en-US"/>
        </w:rPr>
        <w:t>功能</w:t>
      </w:r>
      <w:r>
        <w:rPr>
          <w:rFonts w:hint="eastAsia"/>
          <w:b w:val="0"/>
          <w:bCs w:val="0"/>
          <w:sz w:val="32"/>
          <w:szCs w:val="32"/>
          <w:u w:val="none"/>
        </w:rPr>
        <w:t>分区</w:t>
      </w:r>
      <w:bookmarkEnd w:id="155"/>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划定6类一级规划分区，分别是生态保护区、生态控制区、农田保护区、城镇发展区、乡村发展区和海洋发展区等</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细分二级规划分区。在中心城区范围内，按照主导功能，将城镇发展区划分为居住生活区、综合服务区、商业商务区、工业发展区、物流仓储区、绿地休闲区、交通枢纽区、战略预留区、高校科研区、公用设施区、主题旅游区、特殊用地区等12类二级分区。其中，高校科研区、公用设施区、主题旅游区、特殊用地区4个分区为珠海特色分区。乡村发展区的二级规划分区为一般农业区。根据海洋开发利用需求，将海洋发展区划分为交通运输用海区、游憩用海区、海洋预留区等3类海洋利用二级规划分区。</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156" w:name="_Toc19887"/>
      <w:r>
        <w:rPr>
          <w:rFonts w:hint="eastAsia"/>
          <w:b w:val="0"/>
          <w:bCs w:val="0"/>
          <w:sz w:val="32"/>
          <w:szCs w:val="32"/>
          <w:u w:val="none"/>
        </w:rPr>
        <w:t>优化用地结构</w:t>
      </w:r>
      <w:bookmarkEnd w:id="156"/>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优化中心城区用地结构，坚守安全底线及生态底线，增强公共设施服务能力，严控商业办公及商业用地增量，保障实体经济发展空间。到</w:t>
      </w:r>
      <w:r>
        <w:rPr>
          <w:rFonts w:hint="eastAsia"/>
          <w:b w:val="0"/>
          <w:bCs w:val="0"/>
          <w:sz w:val="32"/>
          <w:szCs w:val="32"/>
          <w:u w:val="none"/>
        </w:rPr>
        <w:t>2035</w:t>
      </w:r>
      <w:r>
        <w:rPr>
          <w:rFonts w:hint="eastAsia" w:ascii="仿宋_GB2312"/>
          <w:b w:val="0"/>
          <w:bCs w:val="0"/>
          <w:sz w:val="32"/>
          <w:szCs w:val="32"/>
          <w:u w:val="none"/>
        </w:rPr>
        <w:t>年，中心</w:t>
      </w:r>
      <w:r>
        <w:rPr>
          <w:rFonts w:hint="eastAsia"/>
          <w:b w:val="0"/>
          <w:bCs w:val="0"/>
          <w:sz w:val="32"/>
          <w:szCs w:val="32"/>
          <w:u w:val="none"/>
        </w:rPr>
        <w:t>城区</w:t>
      </w:r>
      <w:r>
        <w:rPr>
          <w:rFonts w:hint="eastAsia" w:ascii="仿宋_GB2312"/>
          <w:b w:val="0"/>
          <w:bCs w:val="0"/>
          <w:sz w:val="32"/>
          <w:szCs w:val="32"/>
          <w:u w:val="none"/>
        </w:rPr>
        <w:t>耕地保有量、林地面积达到上级下达指标要求。</w:t>
      </w:r>
    </w:p>
    <w:p>
      <w:pPr>
        <w:pStyle w:val="81"/>
        <w:keepNext w:val="0"/>
        <w:keepLines w:val="0"/>
        <w:pageBreakBefore w:val="0"/>
        <w:widowControl w:val="0"/>
        <w:numPr>
          <w:ilvl w:val="0"/>
          <w:numId w:val="9"/>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157" w:name="_Toc26987"/>
      <w:r>
        <w:rPr>
          <w:rFonts w:hint="eastAsia"/>
          <w:b w:val="0"/>
          <w:bCs w:val="0"/>
          <w:sz w:val="32"/>
          <w:szCs w:val="32"/>
          <w:u w:val="none"/>
        </w:rPr>
        <w:t>公共服务与社区生活圈</w:t>
      </w:r>
      <w:bookmarkEnd w:id="157"/>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158" w:name="_Toc26558"/>
      <w:r>
        <w:rPr>
          <w:rFonts w:hint="eastAsia"/>
          <w:b w:val="0"/>
          <w:bCs w:val="0"/>
          <w:sz w:val="32"/>
          <w:szCs w:val="32"/>
          <w:u w:val="none"/>
        </w:rPr>
        <w:t>筑牢基础教育建设根基</w:t>
      </w:r>
      <w:bookmarkEnd w:id="158"/>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强化基础教育用地保障，加大义务教育投入和学位建设力度，结合用地情况适当降低生均面积标准，补足中心城区基础教育设施短板。</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159" w:name="_Toc28899"/>
      <w:r>
        <w:rPr>
          <w:rFonts w:hint="eastAsia"/>
          <w:b w:val="0"/>
          <w:bCs w:val="0"/>
          <w:sz w:val="32"/>
          <w:szCs w:val="32"/>
          <w:u w:val="none"/>
        </w:rPr>
        <w:t>建设现代医疗卫生体系</w:t>
      </w:r>
      <w:bookmarkEnd w:id="159"/>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构建以医院、基层医疗卫生机构、专业</w:t>
      </w:r>
      <w:r>
        <w:rPr>
          <w:rFonts w:hint="eastAsia"/>
          <w:b w:val="0"/>
          <w:bCs w:val="0"/>
          <w:sz w:val="32"/>
          <w:szCs w:val="32"/>
          <w:u w:val="none"/>
        </w:rPr>
        <w:t>公共</w:t>
      </w:r>
      <w:r>
        <w:rPr>
          <w:rFonts w:hint="eastAsia" w:ascii="仿宋_GB2312"/>
          <w:b w:val="0"/>
          <w:bCs w:val="0"/>
          <w:sz w:val="32"/>
          <w:szCs w:val="32"/>
          <w:u w:val="none"/>
        </w:rPr>
        <w:t>卫生机构为支撑的公共卫生服务网络，推进市人民医院、香洲区人民医院等改扩建，补齐南湾、凤山等基本城市组团基层医疗卫生设施短板。</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160" w:name="_Toc7949"/>
      <w:r>
        <w:rPr>
          <w:rFonts w:hint="eastAsia"/>
          <w:b w:val="0"/>
          <w:bCs w:val="0"/>
          <w:sz w:val="32"/>
          <w:szCs w:val="32"/>
          <w:u w:val="none"/>
        </w:rPr>
        <w:t>推进文化艺术设施建设</w:t>
      </w:r>
      <w:bookmarkEnd w:id="160"/>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结合香炉湾、九洲湾、拱北湾等沿岸节点，建设彰显地区特色的公共文化艺术设施，高品质打造情侣路</w:t>
      </w:r>
      <w:r>
        <w:rPr>
          <w:rFonts w:hint="eastAsia"/>
          <w:b w:val="0"/>
          <w:bCs w:val="0"/>
          <w:sz w:val="32"/>
          <w:szCs w:val="32"/>
          <w:u w:val="none"/>
        </w:rPr>
        <w:t>浪漫</w:t>
      </w:r>
      <w:r>
        <w:rPr>
          <w:rFonts w:hint="eastAsia" w:ascii="仿宋_GB2312"/>
          <w:b w:val="0"/>
          <w:bCs w:val="0"/>
          <w:sz w:val="32"/>
          <w:szCs w:val="32"/>
          <w:u w:val="none"/>
        </w:rPr>
        <w:t>风情文化海岸带。高质量推动市工人文化宫、市方志馆、片区文化中心等文化设施建设，提升城市公共艺术空间品质。</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161" w:name="_Toc30193"/>
      <w:r>
        <w:rPr>
          <w:rFonts w:hint="eastAsia"/>
          <w:b w:val="0"/>
          <w:bCs w:val="0"/>
          <w:sz w:val="32"/>
          <w:szCs w:val="32"/>
          <w:u w:val="none"/>
        </w:rPr>
        <w:t>提升体育健身设施品质</w:t>
      </w:r>
      <w:bookmarkEnd w:id="161"/>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更新升级市级体育中心，加快建设全民健身中心及香洲区体育中心，推进公园绿地复合利用，建设社区体育公园、健身步道等全民健身设施。</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162" w:name="_Toc21134"/>
      <w:r>
        <w:rPr>
          <w:rFonts w:hint="eastAsia"/>
          <w:b w:val="0"/>
          <w:bCs w:val="0"/>
          <w:sz w:val="32"/>
          <w:szCs w:val="32"/>
          <w:u w:val="none"/>
        </w:rPr>
        <w:t>强化社会保障设施体系</w:t>
      </w:r>
      <w:bookmarkEnd w:id="162"/>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bookmarkStart w:id="163" w:name="_Hlk138919222"/>
      <w:r>
        <w:rPr>
          <w:rFonts w:hint="eastAsia" w:ascii="仿宋_GB2312"/>
          <w:b w:val="0"/>
          <w:bCs w:val="0"/>
          <w:sz w:val="32"/>
          <w:szCs w:val="32"/>
          <w:u w:val="none"/>
        </w:rPr>
        <w:t>加大养老设施投入。整合现有资源，分区分级配置养老服务设施，提供多元化的社区养老服务。新建地区按照每百户不低于</w:t>
      </w:r>
      <w:r>
        <w:rPr>
          <w:rFonts w:hint="eastAsia"/>
          <w:b w:val="0"/>
          <w:bCs w:val="0"/>
          <w:sz w:val="32"/>
          <w:szCs w:val="32"/>
          <w:u w:val="none"/>
        </w:rPr>
        <w:t>20</w:t>
      </w:r>
      <w:r>
        <w:rPr>
          <w:rFonts w:hint="eastAsia" w:ascii="仿宋_GB2312"/>
          <w:b w:val="0"/>
          <w:bCs w:val="0"/>
          <w:sz w:val="32"/>
          <w:szCs w:val="32"/>
          <w:u w:val="none"/>
        </w:rPr>
        <w:t>平方米的标准，</w:t>
      </w:r>
      <w:r>
        <w:rPr>
          <w:rFonts w:hint="eastAsia"/>
          <w:b w:val="0"/>
          <w:bCs w:val="0"/>
          <w:sz w:val="32"/>
          <w:szCs w:val="32"/>
          <w:u w:val="none"/>
        </w:rPr>
        <w:t>100</w:t>
      </w:r>
      <w:r>
        <w:rPr>
          <w:rFonts w:hint="eastAsia" w:ascii="仿宋_GB2312"/>
          <w:b w:val="0"/>
          <w:bCs w:val="0"/>
          <w:sz w:val="32"/>
          <w:szCs w:val="32"/>
          <w:u w:val="none"/>
        </w:rPr>
        <w:t>%配套建设养老服务设施；已建地区通过“改建、购置、置换、租赁”等方式，逐步实现每百户不低于</w:t>
      </w:r>
      <w:r>
        <w:rPr>
          <w:rFonts w:hint="eastAsia"/>
          <w:b w:val="0"/>
          <w:bCs w:val="0"/>
          <w:sz w:val="32"/>
          <w:szCs w:val="32"/>
          <w:u w:val="none"/>
        </w:rPr>
        <w:t>15</w:t>
      </w:r>
      <w:r>
        <w:rPr>
          <w:rFonts w:hint="eastAsia" w:ascii="仿宋_GB2312"/>
          <w:b w:val="0"/>
          <w:bCs w:val="0"/>
          <w:sz w:val="32"/>
          <w:szCs w:val="32"/>
          <w:u w:val="none"/>
        </w:rPr>
        <w:t>平方米养老服务设施的目标。</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加强居住区托育服务设施配套。</w:t>
      </w:r>
      <w:bookmarkEnd w:id="163"/>
      <w:r>
        <w:rPr>
          <w:rFonts w:hint="eastAsia" w:ascii="仿宋_GB2312"/>
          <w:b w:val="0"/>
          <w:bCs w:val="0"/>
          <w:sz w:val="32"/>
          <w:szCs w:val="32"/>
          <w:u w:val="none"/>
        </w:rPr>
        <w:t>利用社区</w:t>
      </w:r>
      <w:r>
        <w:rPr>
          <w:rFonts w:hint="eastAsia"/>
          <w:b w:val="0"/>
          <w:bCs w:val="0"/>
          <w:sz w:val="32"/>
          <w:szCs w:val="32"/>
          <w:u w:val="none"/>
        </w:rPr>
        <w:t>综合</w:t>
      </w:r>
      <w:r>
        <w:rPr>
          <w:rFonts w:hint="eastAsia" w:ascii="仿宋_GB2312"/>
          <w:b w:val="0"/>
          <w:bCs w:val="0"/>
          <w:sz w:val="32"/>
          <w:szCs w:val="32"/>
          <w:u w:val="none"/>
        </w:rPr>
        <w:t>服务站、社区卫生服务站、住宅楼、企事业单位办公楼等，加强社区嵌入式托育服务配备。</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完善底线民生保障体系。完善福利院、社会救助站、殡葬设施等布局，推动无障碍基础设施与辅助</w:t>
      </w:r>
      <w:r>
        <w:rPr>
          <w:rFonts w:hint="eastAsia"/>
          <w:b w:val="0"/>
          <w:bCs w:val="0"/>
          <w:sz w:val="32"/>
          <w:szCs w:val="32"/>
          <w:u w:val="none"/>
        </w:rPr>
        <w:t>设施</w:t>
      </w:r>
      <w:r>
        <w:rPr>
          <w:rFonts w:hint="eastAsia" w:ascii="仿宋_GB2312"/>
          <w:b w:val="0"/>
          <w:bCs w:val="0"/>
          <w:sz w:val="32"/>
          <w:szCs w:val="32"/>
          <w:u w:val="none"/>
        </w:rPr>
        <w:t>建设，逐步建立覆盖全面、包容多元的普惠型民生保障体系。</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164" w:name="_Toc18573"/>
      <w:r>
        <w:rPr>
          <w:rFonts w:hint="eastAsia"/>
          <w:b w:val="0"/>
          <w:bCs w:val="0"/>
          <w:sz w:val="32"/>
          <w:szCs w:val="32"/>
          <w:u w:val="none"/>
        </w:rPr>
        <w:t>完善邻里公共服务设施</w:t>
      </w:r>
      <w:bookmarkEnd w:id="164"/>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bookmarkStart w:id="165" w:name="_Toc138661991"/>
      <w:r>
        <w:rPr>
          <w:rFonts w:hint="eastAsia" w:ascii="仿宋_GB2312"/>
          <w:b w:val="0"/>
          <w:bCs w:val="0"/>
          <w:sz w:val="32"/>
          <w:szCs w:val="32"/>
          <w:u w:val="none"/>
        </w:rPr>
        <w:t>合理利用已建成熟地区闲置空间、边角空间、既有建筑，补充完善邻里生活圈服务设施缺口；新建或连片更新改造地区鼓励集中设置功能齐备的邻里中心，完善社区服务功能。</w:t>
      </w:r>
    </w:p>
    <w:p>
      <w:pPr>
        <w:pStyle w:val="81"/>
        <w:keepNext w:val="0"/>
        <w:keepLines w:val="0"/>
        <w:pageBreakBefore w:val="0"/>
        <w:widowControl w:val="0"/>
        <w:numPr>
          <w:ilvl w:val="0"/>
          <w:numId w:val="9"/>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166" w:name="_Toc29691"/>
      <w:r>
        <w:rPr>
          <w:rFonts w:hint="eastAsia"/>
          <w:b w:val="0"/>
          <w:bCs w:val="0"/>
          <w:sz w:val="32"/>
          <w:szCs w:val="32"/>
          <w:u w:val="none"/>
        </w:rPr>
        <w:t>居住与住房保障</w:t>
      </w:r>
      <w:bookmarkEnd w:id="165"/>
      <w:bookmarkEnd w:id="166"/>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67" w:name="_Toc138661992"/>
      <w:bookmarkStart w:id="168" w:name="_Toc30371"/>
      <w:r>
        <w:rPr>
          <w:rFonts w:hint="eastAsia"/>
          <w:b w:val="0"/>
          <w:bCs w:val="0"/>
          <w:sz w:val="32"/>
          <w:szCs w:val="32"/>
          <w:u w:val="none"/>
          <w:lang w:val="en-US"/>
        </w:rPr>
        <w:t>控制住房供给</w:t>
      </w:r>
      <w:bookmarkEnd w:id="167"/>
      <w:r>
        <w:rPr>
          <w:rFonts w:hint="eastAsia"/>
          <w:b w:val="0"/>
          <w:bCs w:val="0"/>
          <w:sz w:val="32"/>
          <w:szCs w:val="32"/>
          <w:u w:val="none"/>
          <w:lang w:val="en-US"/>
        </w:rPr>
        <w:t>节奏</w:t>
      </w:r>
      <w:bookmarkEnd w:id="168"/>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结合轨道交通、就业岗位、公共设施配套合理布局新增住宅用地，强化产城融合，引导职住平衡。加强住宅用地规模控制，稳步推进城中旧村改造，有序投放新增住宅用地。</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69" w:name="_Toc6210"/>
      <w:r>
        <w:rPr>
          <w:rFonts w:hint="eastAsia"/>
          <w:b w:val="0"/>
          <w:bCs w:val="0"/>
          <w:sz w:val="32"/>
          <w:szCs w:val="32"/>
          <w:u w:val="none"/>
          <w:lang w:val="en-US"/>
        </w:rPr>
        <w:t>加大住房保障力度</w:t>
      </w:r>
      <w:bookmarkEnd w:id="169"/>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按照“大分散、小集中”的原则，综合考虑近远期发展规划、交通设施、公共服务设施、就业集中度等因素，科学合理划定保障房用地，加快推进凤山</w:t>
      </w:r>
      <w:r>
        <w:rPr>
          <w:rFonts w:hint="eastAsia"/>
          <w:b w:val="0"/>
          <w:bCs w:val="0"/>
          <w:sz w:val="32"/>
          <w:szCs w:val="32"/>
          <w:u w:val="none"/>
        </w:rPr>
        <w:t>TOD</w:t>
      </w:r>
      <w:r>
        <w:rPr>
          <w:rFonts w:hint="eastAsia" w:ascii="仿宋_GB2312"/>
          <w:b w:val="0"/>
          <w:bCs w:val="0"/>
          <w:sz w:val="32"/>
          <w:szCs w:val="32"/>
          <w:u w:val="none"/>
        </w:rPr>
        <w:t>保障性租赁住房、广昌保障性租赁住房、北山保障性租赁住房、洪湾片区保障性租赁住房等项目，持续加大保障性住房供应。</w:t>
      </w:r>
    </w:p>
    <w:p>
      <w:pPr>
        <w:pStyle w:val="81"/>
        <w:keepNext w:val="0"/>
        <w:keepLines w:val="0"/>
        <w:pageBreakBefore w:val="0"/>
        <w:widowControl w:val="0"/>
        <w:numPr>
          <w:ilvl w:val="0"/>
          <w:numId w:val="9"/>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170" w:name="_Toc19795"/>
      <w:r>
        <w:rPr>
          <w:rFonts w:hint="eastAsia"/>
          <w:b w:val="0"/>
          <w:bCs w:val="0"/>
          <w:sz w:val="32"/>
          <w:szCs w:val="32"/>
          <w:u w:val="none"/>
        </w:rPr>
        <w:t>城市设计与景观风貌</w:t>
      </w:r>
      <w:bookmarkEnd w:id="170"/>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71" w:name="_Toc23619"/>
      <w:r>
        <w:rPr>
          <w:rFonts w:hint="eastAsia"/>
          <w:b w:val="0"/>
          <w:bCs w:val="0"/>
          <w:sz w:val="32"/>
          <w:szCs w:val="32"/>
          <w:u w:val="none"/>
          <w:lang w:val="en-US"/>
        </w:rPr>
        <w:t>延续“山海城相拥”的空间意象</w:t>
      </w:r>
      <w:bookmarkEnd w:id="171"/>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强化天际线整体管控，以日月贝、城市之心、九洲港口岸、十字门国际会展中心等地标节点为中心，加强滨水、沿山以及沿城市主干道两侧建筑形态管控，塑造开发强度、建设高度、人口密度高度协调的空间秩序。居住建筑以点式建筑为主，预留视线通廊。</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72" w:name="_Toc28980"/>
      <w:r>
        <w:rPr>
          <w:rFonts w:hint="eastAsia"/>
          <w:b w:val="0"/>
          <w:bCs w:val="0"/>
          <w:sz w:val="32"/>
          <w:szCs w:val="32"/>
          <w:u w:val="none"/>
          <w:lang w:val="en-US"/>
        </w:rPr>
        <w:t>构建“一带两轴三山”的景观系统</w:t>
      </w:r>
      <w:bookmarkEnd w:id="172"/>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cs="Times New Roman"/>
          <w:b w:val="0"/>
          <w:bCs w:val="0"/>
          <w:sz w:val="32"/>
          <w:szCs w:val="32"/>
          <w:u w:val="none"/>
        </w:rPr>
      </w:pPr>
      <w:r>
        <w:rPr>
          <w:rFonts w:hint="eastAsia" w:ascii="仿宋_GB2312" w:hAnsi="仿宋" w:cs="Times New Roman"/>
          <w:b w:val="0"/>
          <w:bCs w:val="0"/>
          <w:kern w:val="0"/>
          <w:sz w:val="32"/>
          <w:szCs w:val="32"/>
          <w:u w:val="none"/>
        </w:rPr>
        <w:t>实施绿美提升行动，策划宜居城市绿美品牌，整合中心城区最具标识性和代表性的山体、水体、道路、岸线及历史文化要素等重要节点，搭建“一带两轴三山”景观系统，促进生态景观和城市人文景观共生，详见专栏</w:t>
      </w:r>
      <w:r>
        <w:rPr>
          <w:rFonts w:cs="Times New Roman"/>
          <w:b w:val="0"/>
          <w:bCs w:val="0"/>
          <w:kern w:val="0"/>
          <w:sz w:val="32"/>
          <w:szCs w:val="32"/>
          <w:u w:val="none"/>
        </w:rPr>
        <w:t>8</w:t>
      </w:r>
      <w:r>
        <w:rPr>
          <w:rFonts w:ascii="仿宋_GB2312" w:hAnsi="仿宋" w:cs="Times New Roman"/>
          <w:b w:val="0"/>
          <w:bCs w:val="0"/>
          <w:kern w:val="0"/>
          <w:sz w:val="32"/>
          <w:szCs w:val="32"/>
          <w:u w:val="none"/>
        </w:rPr>
        <w:t>-</w:t>
      </w:r>
      <w:r>
        <w:rPr>
          <w:rFonts w:cs="Times New Roman"/>
          <w:b w:val="0"/>
          <w:bCs w:val="0"/>
          <w:kern w:val="0"/>
          <w:sz w:val="32"/>
          <w:szCs w:val="32"/>
          <w:u w:val="none"/>
        </w:rPr>
        <w:t>1</w:t>
      </w:r>
      <w:r>
        <w:rPr>
          <w:rFonts w:ascii="仿宋_GB2312" w:hAnsi="仿宋" w:cs="Times New Roman"/>
          <w:b w:val="0"/>
          <w:bCs w:val="0"/>
          <w:kern w:val="0"/>
          <w:sz w:val="32"/>
          <w:szCs w:val="32"/>
          <w:u w:val="none"/>
        </w:rPr>
        <w:t>。</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6"/>
        <w:gridCol w:w="7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gridSpan w:val="2"/>
            <w:shd w:val="clear" w:color="auto" w:fill="D9D9D9"/>
            <w:noWrap w:val="0"/>
            <w:vAlign w:val="center"/>
          </w:tcPr>
          <w:p>
            <w:pPr>
              <w:spacing w:before="46" w:after="46"/>
              <w:ind w:firstLine="0" w:firstLineChars="0"/>
              <w:jc w:val="center"/>
              <w:rPr>
                <w:rFonts w:hint="eastAsia"/>
                <w:b w:val="0"/>
                <w:bCs w:val="0"/>
                <w:u w:val="none"/>
              </w:rPr>
            </w:pPr>
            <w:r>
              <w:rPr>
                <w:rFonts w:hint="eastAsia" w:eastAsia="黑体" w:cs="Times New Roman"/>
                <w:b w:val="0"/>
                <w:bCs w:val="0"/>
                <w:kern w:val="0"/>
                <w:u w:val="none"/>
              </w:rPr>
              <w:t>专栏</w:t>
            </w:r>
            <w:r>
              <w:rPr>
                <w:rFonts w:eastAsia="黑体" w:cs="Times New Roman"/>
                <w:b w:val="0"/>
                <w:bCs w:val="0"/>
                <w:kern w:val="0"/>
                <w:u w:val="none"/>
              </w:rPr>
              <w:t>8-1：中心城区景观系统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056" w:type="dxa"/>
            <w:noWrap w:val="0"/>
            <w:vAlign w:val="center"/>
          </w:tcPr>
          <w:p>
            <w:pPr>
              <w:pStyle w:val="8"/>
              <w:rPr>
                <w:b w:val="0"/>
                <w:bCs w:val="0"/>
                <w:u w:val="none"/>
              </w:rPr>
            </w:pPr>
            <w:r>
              <w:rPr>
                <w:rFonts w:hint="eastAsia"/>
                <w:b w:val="0"/>
                <w:bCs w:val="0"/>
                <w:u w:val="none"/>
              </w:rPr>
              <w:t>类别</w:t>
            </w:r>
          </w:p>
        </w:tc>
        <w:tc>
          <w:tcPr>
            <w:tcW w:w="7232" w:type="dxa"/>
            <w:noWrap w:val="0"/>
            <w:vAlign w:val="center"/>
          </w:tcPr>
          <w:p>
            <w:pPr>
              <w:pStyle w:val="8"/>
              <w:rPr>
                <w:b w:val="0"/>
                <w:bCs w:val="0"/>
                <w:u w:val="none"/>
              </w:rPr>
            </w:pPr>
            <w:r>
              <w:rPr>
                <w:rFonts w:hint="eastAsia"/>
                <w:b w:val="0"/>
                <w:bCs w:val="0"/>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056" w:type="dxa"/>
            <w:noWrap w:val="0"/>
            <w:vAlign w:val="center"/>
          </w:tcPr>
          <w:p>
            <w:pPr>
              <w:pStyle w:val="8"/>
              <w:rPr>
                <w:b w:val="0"/>
                <w:bCs w:val="0"/>
                <w:u w:val="none"/>
              </w:rPr>
            </w:pPr>
            <w:r>
              <w:rPr>
                <w:rFonts w:hint="eastAsia"/>
                <w:b w:val="0"/>
                <w:bCs w:val="0"/>
                <w:u w:val="none"/>
              </w:rPr>
              <w:t>“一带”：海滨生态蓝带</w:t>
            </w:r>
          </w:p>
        </w:tc>
        <w:tc>
          <w:tcPr>
            <w:tcW w:w="7232" w:type="dxa"/>
            <w:noWrap w:val="0"/>
            <w:vAlign w:val="center"/>
          </w:tcPr>
          <w:p>
            <w:pPr>
              <w:pStyle w:val="61"/>
              <w:ind w:firstLine="480"/>
              <w:rPr>
                <w:b w:val="0"/>
                <w:bCs w:val="0"/>
                <w:u w:val="none"/>
              </w:rPr>
            </w:pPr>
            <w:r>
              <w:rPr>
                <w:rFonts w:hint="eastAsia"/>
                <w:b w:val="0"/>
                <w:bCs w:val="0"/>
                <w:u w:val="none"/>
              </w:rPr>
              <w:t>指情侣路沿海活力海岸带，连接凤凰湾、香炉湾、九洲湾、拱北湾、横琴湾、新洪湾，串联香洲港、日月贝、珠海渔女、城市客厅、城市阳台、九洲港、十字门国际会展中心等城市地标，打造珠海特色生活及文旅休闲综合服务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25" w:hRule="atLeast"/>
        </w:trPr>
        <w:tc>
          <w:tcPr>
            <w:tcW w:w="2056" w:type="dxa"/>
            <w:noWrap w:val="0"/>
            <w:vAlign w:val="center"/>
          </w:tcPr>
          <w:p>
            <w:pPr>
              <w:pStyle w:val="8"/>
              <w:rPr>
                <w:b w:val="0"/>
                <w:bCs w:val="0"/>
                <w:u w:val="none"/>
              </w:rPr>
            </w:pPr>
            <w:r>
              <w:rPr>
                <w:rFonts w:hint="eastAsia"/>
                <w:b w:val="0"/>
                <w:bCs w:val="0"/>
                <w:u w:val="none"/>
              </w:rPr>
              <w:t>“两轴”：景观生态主轴</w:t>
            </w:r>
          </w:p>
        </w:tc>
        <w:tc>
          <w:tcPr>
            <w:tcW w:w="7232" w:type="dxa"/>
            <w:noWrap w:val="0"/>
            <w:vAlign w:val="center"/>
          </w:tcPr>
          <w:p>
            <w:pPr>
              <w:pStyle w:val="61"/>
              <w:ind w:firstLine="480"/>
              <w:rPr>
                <w:b w:val="0"/>
                <w:bCs w:val="0"/>
                <w:u w:val="none"/>
              </w:rPr>
            </w:pPr>
            <w:r>
              <w:rPr>
                <w:rFonts w:hint="eastAsia"/>
                <w:b w:val="0"/>
                <w:bCs w:val="0"/>
                <w:u w:val="none"/>
              </w:rPr>
              <w:t>由情侣路、迎宾路构成的生态主轴，进行道路绿美提升，衔接市级综合服务中心、香炉湾文化休闲中心、吉大城市之心、拱北口岸及商贸中心、十字门国际会展中心等中心节点，依托中心节点主导功能，分别在综合服务、文化、商业、商贸、会展等方面展示城区风貌</w:t>
            </w:r>
            <w:r>
              <w:rPr>
                <w:b w:val="0"/>
                <w:bCs w:val="0"/>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056" w:type="dxa"/>
            <w:noWrap w:val="0"/>
            <w:vAlign w:val="center"/>
          </w:tcPr>
          <w:p>
            <w:pPr>
              <w:pStyle w:val="8"/>
              <w:rPr>
                <w:b w:val="0"/>
                <w:bCs w:val="0"/>
                <w:u w:val="none"/>
              </w:rPr>
            </w:pPr>
            <w:r>
              <w:rPr>
                <w:rFonts w:hint="eastAsia"/>
                <w:b w:val="0"/>
                <w:bCs w:val="0"/>
                <w:u w:val="none"/>
              </w:rPr>
              <w:t>“三山”：山体生态脊梁</w:t>
            </w:r>
          </w:p>
        </w:tc>
        <w:tc>
          <w:tcPr>
            <w:tcW w:w="7232" w:type="dxa"/>
            <w:noWrap w:val="0"/>
            <w:vAlign w:val="center"/>
          </w:tcPr>
          <w:p>
            <w:pPr>
              <w:pStyle w:val="61"/>
              <w:ind w:firstLine="480"/>
              <w:rPr>
                <w:b w:val="0"/>
                <w:bCs w:val="0"/>
                <w:u w:val="none"/>
              </w:rPr>
            </w:pPr>
            <w:r>
              <w:rPr>
                <w:rFonts w:hint="eastAsia"/>
                <w:b w:val="0"/>
                <w:bCs w:val="0"/>
                <w:u w:val="none"/>
              </w:rPr>
              <w:t>由凤凰山</w:t>
            </w:r>
            <w:r>
              <w:rPr>
                <w:b w:val="0"/>
                <w:bCs w:val="0"/>
                <w:u w:val="none"/>
              </w:rPr>
              <w:t>-板</w:t>
            </w:r>
            <w:r>
              <w:rPr>
                <w:rFonts w:hint="eastAsia"/>
                <w:b w:val="0"/>
                <w:bCs w:val="0"/>
                <w:u w:val="none"/>
              </w:rPr>
              <w:t>樟</w:t>
            </w:r>
            <w:r>
              <w:rPr>
                <w:b w:val="0"/>
                <w:bCs w:val="0"/>
                <w:u w:val="none"/>
              </w:rPr>
              <w:t>山-黑白</w:t>
            </w:r>
            <w:r>
              <w:rPr>
                <w:rFonts w:hint="eastAsia"/>
                <w:b w:val="0"/>
                <w:bCs w:val="0"/>
                <w:u w:val="none"/>
              </w:rPr>
              <w:t>面</w:t>
            </w:r>
            <w:r>
              <w:rPr>
                <w:b w:val="0"/>
                <w:bCs w:val="0"/>
                <w:u w:val="none"/>
              </w:rPr>
              <w:t>将军山构成，通过云道、绿道</w:t>
            </w:r>
            <w:r>
              <w:rPr>
                <w:rFonts w:hint="eastAsia"/>
                <w:b w:val="0"/>
                <w:bCs w:val="0"/>
                <w:u w:val="none"/>
              </w:rPr>
              <w:t>、</w:t>
            </w:r>
            <w:r>
              <w:rPr>
                <w:b w:val="0"/>
                <w:bCs w:val="0"/>
                <w:u w:val="none"/>
              </w:rPr>
              <w:t>古驿道等构建</w:t>
            </w:r>
            <w:r>
              <w:rPr>
                <w:rFonts w:hint="eastAsia"/>
                <w:b w:val="0"/>
                <w:bCs w:val="0"/>
                <w:u w:val="none"/>
              </w:rPr>
              <w:t>便捷可达、丰富多样</w:t>
            </w:r>
            <w:r>
              <w:rPr>
                <w:b w:val="0"/>
                <w:bCs w:val="0"/>
                <w:u w:val="none"/>
              </w:rPr>
              <w:t>的森林公园体系。</w:t>
            </w:r>
          </w:p>
        </w:tc>
      </w:tr>
    </w:tbl>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73" w:name="_Toc18578"/>
      <w:r>
        <w:rPr>
          <w:rFonts w:hint="eastAsia"/>
          <w:b w:val="0"/>
          <w:bCs w:val="0"/>
          <w:sz w:val="32"/>
          <w:szCs w:val="32"/>
          <w:u w:val="none"/>
          <w:lang w:val="en-US"/>
        </w:rPr>
        <w:t>完善公园绿地和开敞空间体系</w:t>
      </w:r>
      <w:bookmarkEnd w:id="173"/>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实施绿美提升行动，有效保护管控城市重要绿地，改造提升海滨公园、景山公园、白莲洞公园、竹仙洞公园、大马骝洲山公园等现状城市公园，</w:t>
      </w:r>
      <w:r>
        <w:rPr>
          <w:rFonts w:hint="eastAsia" w:ascii="仿宋_GB2312" w:cs="宋体"/>
          <w:b w:val="0"/>
          <w:bCs w:val="0"/>
          <w:sz w:val="32"/>
          <w:szCs w:val="32"/>
          <w:u w:val="none"/>
        </w:rPr>
        <w:t>在三溪科创城、南屏科技</w:t>
      </w:r>
      <w:r>
        <w:rPr>
          <w:rFonts w:hint="eastAsia"/>
          <w:b w:val="0"/>
          <w:bCs w:val="0"/>
          <w:sz w:val="32"/>
          <w:szCs w:val="32"/>
          <w:u w:val="none"/>
        </w:rPr>
        <w:t>生态</w:t>
      </w:r>
      <w:r>
        <w:rPr>
          <w:rFonts w:hint="eastAsia" w:ascii="仿宋_GB2312" w:cs="宋体"/>
          <w:b w:val="0"/>
          <w:bCs w:val="0"/>
          <w:sz w:val="32"/>
          <w:szCs w:val="32"/>
          <w:u w:val="none"/>
        </w:rPr>
        <w:t>城、“洪保十”片区等地区</w:t>
      </w:r>
      <w:r>
        <w:rPr>
          <w:rFonts w:hint="eastAsia" w:ascii="仿宋_GB2312"/>
          <w:b w:val="0"/>
          <w:bCs w:val="0"/>
          <w:sz w:val="32"/>
          <w:szCs w:val="32"/>
          <w:u w:val="none"/>
        </w:rPr>
        <w:t>建设街头口袋公园和公共艺术空间，对重要廊道、轴线、景观带进行绿地织补，增强通达性，创造多样化的公共空间。推动城市格局与生态格局高度融合、城市蓝绿生态网络与城市公共空间互联互通，挖掘自然山水和历史人文资源，强化公园文化品质提升的导向，打造精品公园群落。</w:t>
      </w:r>
      <w:r>
        <w:rPr>
          <w:rFonts w:hint="eastAsia" w:ascii="仿宋_GB2312" w:cs="宋体"/>
          <w:b w:val="0"/>
          <w:bCs w:val="0"/>
          <w:sz w:val="32"/>
          <w:szCs w:val="32"/>
          <w:u w:val="none"/>
        </w:rPr>
        <w:t>严格保护城市水系、绿地等开敞空间，划定城市通风廊道。</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174" w:name="_Toc11673"/>
      <w:r>
        <w:rPr>
          <w:rFonts w:hint="eastAsia"/>
          <w:b w:val="0"/>
          <w:bCs w:val="0"/>
          <w:sz w:val="32"/>
          <w:szCs w:val="32"/>
          <w:u w:val="none"/>
        </w:rPr>
        <w:t>推进道路绿化整治</w:t>
      </w:r>
      <w:bookmarkEnd w:id="174"/>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cs="Times New Roman"/>
          <w:b w:val="0"/>
          <w:bCs w:val="0"/>
          <w:kern w:val="0"/>
          <w:sz w:val="32"/>
          <w:szCs w:val="32"/>
          <w:u w:val="none"/>
        </w:rPr>
        <w:t>实施绿色通道品质提升行动，强化道路绿化的生态和环境功能，紧密结合市政路网与城市慢行系统。重点推进兴业快线、城际轨道、九洲大道、迎宾路及情侣路</w:t>
      </w:r>
      <w:r>
        <w:rPr>
          <w:rFonts w:hint="eastAsia"/>
          <w:b w:val="0"/>
          <w:bCs w:val="0"/>
          <w:sz w:val="32"/>
          <w:szCs w:val="32"/>
          <w:u w:val="none"/>
        </w:rPr>
        <w:t>沿线</w:t>
      </w:r>
      <w:r>
        <w:rPr>
          <w:rFonts w:hint="eastAsia" w:ascii="仿宋_GB2312" w:cs="Times New Roman"/>
          <w:b w:val="0"/>
          <w:bCs w:val="0"/>
          <w:kern w:val="0"/>
          <w:sz w:val="32"/>
          <w:szCs w:val="32"/>
          <w:u w:val="none"/>
        </w:rPr>
        <w:t>等城市主要交通廊道绿化整治。结合背街小巷整治工作，以“微改造、精提升”的方式，直观、高效、经济地提升街巷品质。</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lang w:val="en-US"/>
        </w:rPr>
      </w:pPr>
      <w:bookmarkStart w:id="175" w:name="_Toc29713"/>
      <w:r>
        <w:rPr>
          <w:rFonts w:hint="eastAsia"/>
          <w:b w:val="0"/>
          <w:bCs w:val="0"/>
          <w:sz w:val="32"/>
          <w:szCs w:val="32"/>
          <w:u w:val="none"/>
          <w:lang w:val="en-US"/>
        </w:rPr>
        <w:t>推进碧道景观提升</w:t>
      </w:r>
      <w:bookmarkEnd w:id="175"/>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eastAsia="宋体" w:cs="Times New Roman"/>
          <w:b w:val="0"/>
          <w:bCs w:val="0"/>
          <w:sz w:val="32"/>
          <w:szCs w:val="32"/>
          <w:u w:val="none"/>
        </w:rPr>
      </w:pPr>
      <w:r>
        <w:rPr>
          <w:rFonts w:hint="eastAsia" w:ascii="仿宋_GB2312"/>
          <w:b w:val="0"/>
          <w:bCs w:val="0"/>
          <w:sz w:val="32"/>
          <w:szCs w:val="32"/>
          <w:u w:val="none"/>
        </w:rPr>
        <w:t>加快中心城区重点河段骨干特色碧道建设，构建健康和谐的活力碧道网。以水为纽带，推进前山河、凤凰河、各河涌、各排洪渠等景观建设，彰显城市水韵。结合碧道设施，因地制宜在凤凰排洪渠两侧、渠道两侧、渠岸环线边缘、前山河、情侣路沿岸开展亲水型绿道提升修复工作。</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76" w:name="_Toc23346"/>
      <w:r>
        <w:rPr>
          <w:rFonts w:hint="eastAsia"/>
          <w:b w:val="0"/>
          <w:bCs w:val="0"/>
          <w:sz w:val="32"/>
          <w:szCs w:val="32"/>
          <w:u w:val="none"/>
          <w:lang w:val="en-US"/>
        </w:rPr>
        <w:t>塑造文旅特色氛围</w:t>
      </w:r>
      <w:bookmarkEnd w:id="176"/>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重点推进广东省历史文化名村和传统村落（包括北山村、南屏村、翠微村、梅溪村、东坑村</w:t>
      </w:r>
      <w:r>
        <w:rPr>
          <w:rFonts w:hint="eastAsia"/>
          <w:b w:val="0"/>
          <w:bCs w:val="0"/>
          <w:sz w:val="32"/>
          <w:szCs w:val="32"/>
          <w:u w:val="none"/>
        </w:rPr>
        <w:t>等）</w:t>
      </w:r>
      <w:r>
        <w:rPr>
          <w:rFonts w:hint="eastAsia" w:ascii="仿宋_GB2312"/>
          <w:b w:val="0"/>
          <w:bCs w:val="0"/>
          <w:sz w:val="32"/>
          <w:szCs w:val="32"/>
          <w:u w:val="none"/>
        </w:rPr>
        <w:t>、广东省</w:t>
      </w:r>
      <w:r>
        <w:rPr>
          <w:rFonts w:hint="eastAsia"/>
          <w:b w:val="0"/>
          <w:bCs w:val="0"/>
          <w:sz w:val="32"/>
          <w:szCs w:val="32"/>
          <w:u w:val="none"/>
        </w:rPr>
        <w:t>历史</w:t>
      </w:r>
      <w:r>
        <w:rPr>
          <w:rFonts w:hint="eastAsia" w:ascii="仿宋_GB2312"/>
          <w:b w:val="0"/>
          <w:bCs w:val="0"/>
          <w:sz w:val="32"/>
          <w:szCs w:val="32"/>
          <w:u w:val="none"/>
        </w:rPr>
        <w:t>文化街区（香洲埠和南屏</w:t>
      </w:r>
      <w:r>
        <w:rPr>
          <w:rFonts w:hint="eastAsia"/>
          <w:b w:val="0"/>
          <w:bCs w:val="0"/>
          <w:sz w:val="32"/>
          <w:szCs w:val="32"/>
          <w:u w:val="none"/>
        </w:rPr>
        <w:t>）</w:t>
      </w:r>
      <w:r>
        <w:rPr>
          <w:rFonts w:hint="eastAsia" w:ascii="仿宋_GB2312"/>
          <w:b w:val="0"/>
          <w:bCs w:val="0"/>
          <w:sz w:val="32"/>
          <w:szCs w:val="32"/>
          <w:u w:val="none"/>
        </w:rPr>
        <w:t>以及香山古驿道等历史文化遗产及非物质文化遗产的活化利用，挖掘人文资源。链接香洲港、日月贝、珠海渔女、城市客厅、城市阳台、九洲港、十字门国际会展中心等重要旅游节点，完善服务设施，丰富休闲活动。</w:t>
      </w:r>
    </w:p>
    <w:p>
      <w:pPr>
        <w:pStyle w:val="81"/>
        <w:keepNext w:val="0"/>
        <w:keepLines w:val="0"/>
        <w:pageBreakBefore w:val="0"/>
        <w:widowControl w:val="0"/>
        <w:numPr>
          <w:ilvl w:val="0"/>
          <w:numId w:val="9"/>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b w:val="0"/>
          <w:bCs w:val="0"/>
          <w:sz w:val="32"/>
          <w:szCs w:val="32"/>
          <w:u w:val="none"/>
        </w:rPr>
      </w:pPr>
      <w:bookmarkStart w:id="177" w:name="_Toc25764"/>
      <w:bookmarkStart w:id="178" w:name="_Toc138662000"/>
      <w:r>
        <w:rPr>
          <w:rFonts w:hint="eastAsia"/>
          <w:b w:val="0"/>
          <w:bCs w:val="0"/>
          <w:sz w:val="32"/>
          <w:szCs w:val="32"/>
          <w:u w:val="none"/>
        </w:rPr>
        <w:t>城市道路交通系统</w:t>
      </w:r>
      <w:bookmarkEnd w:id="177"/>
      <w:bookmarkEnd w:id="178"/>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79" w:name="_Toc125"/>
      <w:r>
        <w:rPr>
          <w:rFonts w:hint="eastAsia"/>
          <w:b w:val="0"/>
          <w:bCs w:val="0"/>
          <w:sz w:val="32"/>
          <w:szCs w:val="32"/>
          <w:u w:val="none"/>
          <w:lang w:val="en-US"/>
        </w:rPr>
        <w:t>塑造高效便捷对外交通</w:t>
      </w:r>
      <w:bookmarkEnd w:id="179"/>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以珠海站为核心，规划</w:t>
      </w:r>
      <w:r>
        <w:rPr>
          <w:rFonts w:hint="eastAsia"/>
          <w:b w:val="0"/>
          <w:bCs w:val="0"/>
          <w:sz w:val="32"/>
          <w:szCs w:val="32"/>
          <w:u w:val="none"/>
        </w:rPr>
        <w:t>4</w:t>
      </w:r>
      <w:r>
        <w:rPr>
          <w:rFonts w:hint="eastAsia" w:ascii="仿宋_GB2312"/>
          <w:b w:val="0"/>
          <w:bCs w:val="0"/>
          <w:sz w:val="32"/>
          <w:szCs w:val="32"/>
          <w:u w:val="none"/>
        </w:rPr>
        <w:t>条城际轨道，强化中心城区与湾区核心城市的直连直通，完善大湾区铁路骨干网络。规划布局深珠铁路（伶仃洋通道）向东直连深圳，依托广珠城际和规划南珠（中）城际向北直连广佛，依托珠机城际向南衔接澳门和珠海机场，实现中心城区与湾区核心城市</w:t>
      </w:r>
      <w:r>
        <w:rPr>
          <w:rFonts w:hint="eastAsia"/>
          <w:b w:val="0"/>
          <w:bCs w:val="0"/>
          <w:sz w:val="32"/>
          <w:szCs w:val="32"/>
          <w:u w:val="none"/>
        </w:rPr>
        <w:t>1</w:t>
      </w:r>
      <w:r>
        <w:rPr>
          <w:rFonts w:hint="eastAsia" w:ascii="仿宋_GB2312"/>
          <w:b w:val="0"/>
          <w:bCs w:val="0"/>
          <w:sz w:val="32"/>
          <w:szCs w:val="32"/>
          <w:u w:val="none"/>
        </w:rPr>
        <w:t>小时互达目标。</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规划布局</w:t>
      </w:r>
      <w:r>
        <w:rPr>
          <w:rFonts w:hint="eastAsia"/>
          <w:b w:val="0"/>
          <w:bCs w:val="0"/>
          <w:sz w:val="32"/>
          <w:szCs w:val="32"/>
          <w:u w:val="none"/>
        </w:rPr>
        <w:t>9</w:t>
      </w:r>
      <w:r>
        <w:rPr>
          <w:rFonts w:hint="eastAsia" w:ascii="仿宋_GB2312"/>
          <w:b w:val="0"/>
          <w:bCs w:val="0"/>
          <w:sz w:val="32"/>
          <w:szCs w:val="32"/>
          <w:u w:val="none"/>
        </w:rPr>
        <w:t>条对外高快速通道，提升中心城区与其他城区、基本城市组团的衔接效率。向北规划兴业快线、金琴快线和金溪大道，快速联系高新区；向西规划西部沿海</w:t>
      </w:r>
      <w:r>
        <w:rPr>
          <w:rFonts w:hint="eastAsia"/>
          <w:b w:val="0"/>
          <w:bCs w:val="0"/>
          <w:sz w:val="32"/>
          <w:szCs w:val="32"/>
          <w:u w:val="none"/>
        </w:rPr>
        <w:t>高速公路</w:t>
      </w:r>
      <w:r>
        <w:rPr>
          <w:rFonts w:hint="eastAsia" w:ascii="仿宋_GB2312"/>
          <w:b w:val="0"/>
          <w:bCs w:val="0"/>
          <w:sz w:val="32"/>
          <w:szCs w:val="32"/>
          <w:u w:val="none"/>
        </w:rPr>
        <w:t>、富蕉大道、香海大桥、珠海大道、港珠澳大桥及其西延线，高效衔接西部城区；向南规划南湾大道、横琴第三通道，便捷联系琴澳地区。加快推进杧洲隧道、十字门隧道建设，增强与横琴“两桥三隧”</w:t>
      </w:r>
      <w:r>
        <w:rPr>
          <w:rFonts w:hint="eastAsia" w:ascii="仿宋_GB2312"/>
          <w:b w:val="0"/>
          <w:bCs w:val="0"/>
          <w:sz w:val="32"/>
          <w:szCs w:val="32"/>
          <w:u w:val="none"/>
          <w:vertAlign w:val="superscript"/>
        </w:rPr>
        <w:footnoteReference w:id="15"/>
      </w:r>
      <w:r>
        <w:rPr>
          <w:rFonts w:hint="eastAsia" w:ascii="仿宋_GB2312"/>
          <w:b w:val="0"/>
          <w:bCs w:val="0"/>
          <w:sz w:val="32"/>
          <w:szCs w:val="32"/>
          <w:u w:val="none"/>
        </w:rPr>
        <w:t>通道联系。实现中心城区与西部城区、周边基本城市组团</w:t>
      </w:r>
      <w:r>
        <w:rPr>
          <w:rFonts w:hint="eastAsia"/>
          <w:b w:val="0"/>
          <w:bCs w:val="0"/>
          <w:sz w:val="32"/>
          <w:szCs w:val="32"/>
          <w:u w:val="none"/>
        </w:rPr>
        <w:t>30</w:t>
      </w:r>
      <w:r>
        <w:rPr>
          <w:rFonts w:hint="eastAsia" w:ascii="仿宋_GB2312"/>
          <w:b w:val="0"/>
          <w:bCs w:val="0"/>
          <w:sz w:val="32"/>
          <w:szCs w:val="32"/>
          <w:u w:val="none"/>
        </w:rPr>
        <w:t>分钟互达目标。</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打造高效衔接湾区的水上交通系统。重点强化九洲港、香洲港与港澳地区、深圳以及海洋海岛航线的高效</w:t>
      </w:r>
      <w:r>
        <w:rPr>
          <w:rFonts w:hint="eastAsia"/>
          <w:b w:val="0"/>
          <w:bCs w:val="0"/>
          <w:sz w:val="32"/>
          <w:szCs w:val="32"/>
          <w:u w:val="none"/>
        </w:rPr>
        <w:t>衔接</w:t>
      </w:r>
      <w:r>
        <w:rPr>
          <w:rFonts w:hint="eastAsia" w:ascii="仿宋_GB2312"/>
          <w:b w:val="0"/>
          <w:bCs w:val="0"/>
          <w:sz w:val="32"/>
          <w:szCs w:val="32"/>
          <w:u w:val="none"/>
        </w:rPr>
        <w:t>，提升水上交通区域连通度和衔接效率。</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80" w:name="_Toc26196"/>
      <w:r>
        <w:rPr>
          <w:rFonts w:hint="eastAsia"/>
          <w:b w:val="0"/>
          <w:bCs w:val="0"/>
          <w:sz w:val="32"/>
          <w:szCs w:val="32"/>
          <w:u w:val="none"/>
          <w:lang w:val="en-US"/>
        </w:rPr>
        <w:t>打造珠澳一体交通枢纽</w:t>
      </w:r>
      <w:bookmarkEnd w:id="180"/>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全面升级拱北片区对接澳门的口岸枢纽群。重点围绕九洲港口岸、港珠澳大桥珠海公路口岸、拱北口岸，规划引入城际</w:t>
      </w:r>
      <w:r>
        <w:rPr>
          <w:rFonts w:hint="eastAsia"/>
          <w:b w:val="0"/>
          <w:bCs w:val="0"/>
          <w:sz w:val="32"/>
          <w:szCs w:val="32"/>
          <w:u w:val="none"/>
        </w:rPr>
        <w:t>轨道</w:t>
      </w:r>
      <w:r>
        <w:rPr>
          <w:rFonts w:hint="eastAsia" w:ascii="仿宋_GB2312"/>
          <w:b w:val="0"/>
          <w:bCs w:val="0"/>
          <w:sz w:val="32"/>
          <w:szCs w:val="32"/>
          <w:u w:val="none"/>
        </w:rPr>
        <w:t>、城市轨道，升级骨干道路网络和常规公交走廊，强化多种交通方式的一体化衔接，打造珠澳协同发展的综合立体交通枢纽。</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科学疏解拱北口岸功能和交通压力。通过优化拱北口岸、港珠澳大桥珠海公路口岸、青茂口岸等环澳门口岸的功能，调整客运口岸的通关</w:t>
      </w:r>
      <w:r>
        <w:rPr>
          <w:rFonts w:hint="eastAsia"/>
          <w:b w:val="0"/>
          <w:bCs w:val="0"/>
          <w:sz w:val="32"/>
          <w:szCs w:val="32"/>
          <w:u w:val="none"/>
        </w:rPr>
        <w:t>时间</w:t>
      </w:r>
      <w:r>
        <w:rPr>
          <w:rFonts w:hint="eastAsia" w:ascii="仿宋_GB2312"/>
          <w:b w:val="0"/>
          <w:bCs w:val="0"/>
          <w:sz w:val="32"/>
          <w:szCs w:val="32"/>
          <w:u w:val="none"/>
        </w:rPr>
        <w:t>，均衡发展珠海各陆路口岸，推进拱北口岸旅客分流，提高青茂口岸、港珠澳大桥珠海公路口岸和横琴口岸通关人数比例。</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81" w:name="_Toc8923"/>
      <w:r>
        <w:rPr>
          <w:rFonts w:hint="eastAsia"/>
          <w:b w:val="0"/>
          <w:bCs w:val="0"/>
          <w:sz w:val="32"/>
          <w:szCs w:val="32"/>
          <w:u w:val="none"/>
          <w:lang w:val="en-US"/>
        </w:rPr>
        <w:t>构建中心城区快速环线</w:t>
      </w:r>
      <w:bookmarkEnd w:id="181"/>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重点打造中心城区快速环线。构建香山大道-金琴快线-南湾大道-昌盛路-兴业快线的中心城区快速环线；规划“六横十纵”骨干路网，提升道路交通衔接效率，实现中心城区</w:t>
      </w:r>
      <w:r>
        <w:rPr>
          <w:rFonts w:hint="eastAsia"/>
          <w:b w:val="0"/>
          <w:bCs w:val="0"/>
          <w:sz w:val="32"/>
          <w:szCs w:val="32"/>
          <w:u w:val="none"/>
        </w:rPr>
        <w:t>15</w:t>
      </w:r>
      <w:r>
        <w:rPr>
          <w:rFonts w:hint="eastAsia" w:ascii="仿宋_GB2312"/>
          <w:b w:val="0"/>
          <w:bCs w:val="0"/>
          <w:sz w:val="32"/>
          <w:szCs w:val="32"/>
          <w:u w:val="none"/>
        </w:rPr>
        <w:t>分钟上高快速路目标。</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强化与两条战略通道的高效衔接。建设兴业快线，提升九洲大道，提升对接深中通道战略通道的衔接效率；加强中心城区与港珠澳大桥珠海公路口岸、大桥的</w:t>
      </w:r>
      <w:r>
        <w:rPr>
          <w:rFonts w:hint="eastAsia"/>
          <w:b w:val="0"/>
          <w:bCs w:val="0"/>
          <w:sz w:val="32"/>
          <w:szCs w:val="32"/>
          <w:u w:val="none"/>
        </w:rPr>
        <w:t>交通</w:t>
      </w:r>
      <w:r>
        <w:rPr>
          <w:rFonts w:hint="eastAsia" w:ascii="仿宋_GB2312"/>
          <w:b w:val="0"/>
          <w:bCs w:val="0"/>
          <w:sz w:val="32"/>
          <w:szCs w:val="32"/>
          <w:u w:val="none"/>
        </w:rPr>
        <w:t>衔接，充分发挥对接港珠澳大桥战略通道的辐射带动作用。</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完善中心城区微循环路网。结合城市更新和用地开发，加密中心城区次支路网、提升次支路网密度，优化各层级路网之间衔接组织，提升路网承载力，并与用地开发相匹配。</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82" w:name="_Toc5262"/>
      <w:r>
        <w:rPr>
          <w:rFonts w:hint="eastAsia"/>
          <w:b w:val="0"/>
          <w:bCs w:val="0"/>
          <w:sz w:val="32"/>
          <w:szCs w:val="32"/>
          <w:u w:val="none"/>
          <w:lang w:val="en-US"/>
        </w:rPr>
        <w:t>提供优质便捷公交服务</w:t>
      </w:r>
      <w:bookmarkEnd w:id="182"/>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打造中心城区“精线路、密班次、便换乘”骨干公交线路网络，完善“快-干-支（微）”多层次常规公交</w:t>
      </w:r>
      <w:r>
        <w:rPr>
          <w:rFonts w:hint="eastAsia"/>
          <w:b w:val="0"/>
          <w:bCs w:val="0"/>
          <w:sz w:val="32"/>
          <w:szCs w:val="32"/>
          <w:u w:val="none"/>
        </w:rPr>
        <w:t>服务</w:t>
      </w:r>
      <w:r>
        <w:rPr>
          <w:rFonts w:hint="eastAsia" w:ascii="仿宋_GB2312"/>
          <w:b w:val="0"/>
          <w:bCs w:val="0"/>
          <w:sz w:val="32"/>
          <w:szCs w:val="32"/>
          <w:u w:val="none"/>
        </w:rPr>
        <w:t>体系，进一步推进勤学公交、勤业公交、高速公交以及旅游观光公交等多元化公交服务供给。</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中心城区规划“一环四横五纵”公交专用道网络，加强公交专用道监管执法，保障公交专有路权。公交场站采取“立体公交综合车场+配建公交首末站”建设模式，集约利用公交场站用地，推进上冲综合车场、香洲总站、南溪公交综合保障基地、保税西综合车场等公交场站及周边用地综合开发，反哺公交运营。完善配建公交首末站的规划、设计、建设及运营管理机制。</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83" w:name="_Toc13649"/>
      <w:r>
        <w:rPr>
          <w:rFonts w:hint="eastAsia"/>
          <w:b w:val="0"/>
          <w:bCs w:val="0"/>
          <w:sz w:val="32"/>
          <w:szCs w:val="32"/>
          <w:u w:val="none"/>
          <w:lang w:val="en-US"/>
        </w:rPr>
        <w:t>打造特色品质慢行交通</w:t>
      </w:r>
      <w:bookmarkEnd w:id="183"/>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依托城市路网完善中心城区慢行网络，开展绿美街道创建，打造“一路一景、四季有花”各具特色的街区、社区景观路和慢行步道，全面升级慢行空间环境。中心城区重点打造凤凰北、城市之心、保税区二期三大慢行示范街区；结合凤凰山、板樟山、情侣路和情侣南路等自然山水特色景观，规划布局绿道、碧道、古驿道、云道（健康步道）等多元化慢行休闲景观走廊。</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84" w:name="_Toc28263"/>
      <w:r>
        <w:rPr>
          <w:rFonts w:hint="eastAsia"/>
          <w:b w:val="0"/>
          <w:bCs w:val="0"/>
          <w:sz w:val="32"/>
          <w:szCs w:val="32"/>
          <w:u w:val="none"/>
          <w:lang w:val="en-US"/>
        </w:rPr>
        <w:t>全面推进综合交通治理</w:t>
      </w:r>
      <w:bookmarkEnd w:id="184"/>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加强中心城区交通综合治理工作。重点针对工作日主要廊道通勤交通拥堵问题、节假日情侣路等景点交通拥堵问题，开展从点及线到面的综合交通治理，保障中心城区</w:t>
      </w:r>
      <w:r>
        <w:rPr>
          <w:rFonts w:hint="eastAsia"/>
          <w:b w:val="0"/>
          <w:bCs w:val="0"/>
          <w:sz w:val="32"/>
          <w:szCs w:val="32"/>
          <w:u w:val="none"/>
        </w:rPr>
        <w:t>交通</w:t>
      </w:r>
      <w:r>
        <w:rPr>
          <w:rFonts w:hint="eastAsia" w:ascii="仿宋_GB2312"/>
          <w:b w:val="0"/>
          <w:bCs w:val="0"/>
          <w:sz w:val="32"/>
          <w:szCs w:val="32"/>
          <w:u w:val="none"/>
        </w:rPr>
        <w:t>系统的高效与畅顺。</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坚持“尊重车辆拥有、引导合理使用”原则，优化停车政策、规划、建设和管理，通过停车设施差异化供给，保障基本停车需求，调节出行停车需求，推动停车共享，缓解停车难问题。</w:t>
      </w:r>
    </w:p>
    <w:p>
      <w:pPr>
        <w:pStyle w:val="81"/>
        <w:keepNext w:val="0"/>
        <w:keepLines w:val="0"/>
        <w:pageBreakBefore w:val="0"/>
        <w:widowControl w:val="0"/>
        <w:numPr>
          <w:ilvl w:val="0"/>
          <w:numId w:val="9"/>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185" w:name="_Toc138662006"/>
      <w:bookmarkStart w:id="186" w:name="_Toc14899"/>
      <w:r>
        <w:rPr>
          <w:rFonts w:hint="eastAsia"/>
          <w:b w:val="0"/>
          <w:bCs w:val="0"/>
          <w:sz w:val="32"/>
          <w:szCs w:val="32"/>
          <w:u w:val="none"/>
        </w:rPr>
        <w:t>市政基础设施</w:t>
      </w:r>
      <w:bookmarkEnd w:id="185"/>
      <w:r>
        <w:rPr>
          <w:rFonts w:hint="eastAsia"/>
          <w:b w:val="0"/>
          <w:bCs w:val="0"/>
          <w:sz w:val="32"/>
          <w:szCs w:val="32"/>
          <w:u w:val="none"/>
        </w:rPr>
        <w:t>与城市安全</w:t>
      </w:r>
      <w:bookmarkEnd w:id="186"/>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87" w:name="_Toc22038"/>
      <w:r>
        <w:rPr>
          <w:rFonts w:hint="eastAsia"/>
          <w:b w:val="0"/>
          <w:bCs w:val="0"/>
          <w:sz w:val="32"/>
          <w:szCs w:val="32"/>
          <w:u w:val="none"/>
          <w:lang w:val="en-US"/>
        </w:rPr>
        <w:t>建设安全高效的供水系统</w:t>
      </w:r>
      <w:bookmarkEnd w:id="187"/>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新建梅溪给水厂、扩建南区给水厂，改建拱北给水厂和香洲给水厂，构建“三主一辅”的给水厂布局，提升供水安全保障能力。完善供水管网环路，加强区内外主力给水厂主干管成环成网，提高中心城区供水系统韧性。适当补充高位水池，增强应急调蓄和压力保障。</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88" w:name="_Toc5966"/>
      <w:r>
        <w:rPr>
          <w:rFonts w:hint="eastAsia"/>
          <w:b w:val="0"/>
          <w:bCs w:val="0"/>
          <w:sz w:val="32"/>
          <w:szCs w:val="32"/>
          <w:u w:val="none"/>
          <w:lang w:val="en-US"/>
        </w:rPr>
        <w:t>建成环保高效的污水系统</w:t>
      </w:r>
      <w:bookmarkEnd w:id="188"/>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规划保留拱北水质净化厂，扩建香洲污水处理厂、吉大水质净化厂、前山水质净化厂、南区水质净化厂，新建上冲水质净化厂。开展城中旧村、老旧小区雨污分流改造，提升管网覆盖率和收集水平，建立相互连通、互为调度的污水干管体系，提升系统安全韧性。完善排水管渠污泥处理设施建设，健全污泥无害化处理设施体系。扩大污水再生应用领域，提高再生水利用水平。</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89" w:name="_Toc7409"/>
      <w:r>
        <w:rPr>
          <w:rFonts w:hint="eastAsia"/>
          <w:b w:val="0"/>
          <w:bCs w:val="0"/>
          <w:sz w:val="32"/>
          <w:szCs w:val="32"/>
          <w:u w:val="none"/>
          <w:lang w:val="en-US"/>
        </w:rPr>
        <w:t>建设强韧性的排水防涝体系</w:t>
      </w:r>
      <w:bookmarkEnd w:id="189"/>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加强雨水径流源头控制，推进管网建设与改造，完善雨水排水通道，实现城区雨水系统全覆盖，挖掘城市绿色雨水调蓄空间。理顺行洪通道，完善山洪蓄排体系，协调推进河网、调蓄湖、排涝泵站等排涝通道建设，全面提升中心城区排水防涝能力。</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90" w:name="_Toc22611"/>
      <w:r>
        <w:rPr>
          <w:rFonts w:hint="eastAsia"/>
          <w:b w:val="0"/>
          <w:bCs w:val="0"/>
          <w:sz w:val="32"/>
          <w:szCs w:val="32"/>
          <w:u w:val="none"/>
          <w:lang w:val="en-US"/>
        </w:rPr>
        <w:t>构建清洁高效的能源供应体系</w:t>
      </w:r>
      <w:bookmarkEnd w:id="190"/>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推进能源清洁低碳转型。加大可再生能源</w:t>
      </w:r>
      <w:r>
        <w:rPr>
          <w:rFonts w:hint="eastAsia"/>
          <w:b w:val="0"/>
          <w:bCs w:val="0"/>
          <w:sz w:val="32"/>
          <w:szCs w:val="32"/>
          <w:u w:val="none"/>
        </w:rPr>
        <w:t>开发</w:t>
      </w:r>
      <w:r>
        <w:rPr>
          <w:rFonts w:hint="eastAsia" w:ascii="仿宋_GB2312"/>
          <w:b w:val="0"/>
          <w:bCs w:val="0"/>
          <w:sz w:val="32"/>
          <w:szCs w:val="32"/>
          <w:u w:val="none"/>
        </w:rPr>
        <w:t>利用力度，构建以电和天然气为主、太阳能等可再生能源为辅的绿色低碳能源体系，提高可再生能源比重。</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构建坚强可靠的智能电网。建设</w:t>
      </w:r>
      <w:r>
        <w:rPr>
          <w:rFonts w:hint="eastAsia"/>
          <w:b w:val="0"/>
          <w:bCs w:val="0"/>
          <w:sz w:val="32"/>
          <w:szCs w:val="32"/>
          <w:u w:val="none"/>
        </w:rPr>
        <w:t>220kV</w:t>
      </w:r>
      <w:r>
        <w:rPr>
          <w:rFonts w:hint="eastAsia" w:ascii="仿宋_GB2312"/>
          <w:b w:val="0"/>
          <w:bCs w:val="0"/>
          <w:sz w:val="32"/>
          <w:szCs w:val="32"/>
          <w:u w:val="none"/>
        </w:rPr>
        <w:t>海天站、南湾站，统筹安排电力线路通道，持续推进保底网架项目建设，提高电网防风抗灾能力。</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构建安全稳定的燃气供应体系。构建气源供应充足、场站布置合理、压力级制高效、主干管网可靠、适应性强的现代化市政燃气供应体系。加快推进前山储配站升级改造和上冲区域调压站建设，进一步完善市政天然气管网系统，提升天然气管道覆盖率。</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91" w:name="_Toc2235"/>
      <w:r>
        <w:rPr>
          <w:rFonts w:hint="eastAsia"/>
          <w:b w:val="0"/>
          <w:bCs w:val="0"/>
          <w:sz w:val="32"/>
          <w:szCs w:val="32"/>
          <w:u w:val="none"/>
          <w:lang w:val="en-US"/>
        </w:rPr>
        <w:t>建成高速、智慧的信息支撑系统</w:t>
      </w:r>
      <w:bookmarkEnd w:id="191"/>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加快推进</w:t>
      </w:r>
      <w:r>
        <w:rPr>
          <w:rFonts w:hint="eastAsia"/>
          <w:b w:val="0"/>
          <w:bCs w:val="0"/>
          <w:sz w:val="32"/>
          <w:szCs w:val="32"/>
          <w:u w:val="none"/>
        </w:rPr>
        <w:t>5G</w:t>
      </w:r>
      <w:r>
        <w:rPr>
          <w:rFonts w:hint="eastAsia" w:ascii="仿宋_GB2312"/>
          <w:b w:val="0"/>
          <w:bCs w:val="0"/>
          <w:sz w:val="32"/>
          <w:szCs w:val="32"/>
          <w:u w:val="none"/>
        </w:rPr>
        <w:t>网络建设，构建超高速光网系统，形成超大容量信息调度能力。基于物联网、大数据、</w:t>
      </w:r>
      <w:r>
        <w:rPr>
          <w:rFonts w:hint="eastAsia"/>
          <w:b w:val="0"/>
          <w:bCs w:val="0"/>
          <w:sz w:val="32"/>
          <w:szCs w:val="32"/>
          <w:u w:val="none"/>
        </w:rPr>
        <w:t>人工智能</w:t>
      </w:r>
      <w:r>
        <w:rPr>
          <w:rFonts w:hint="eastAsia" w:ascii="仿宋_GB2312"/>
          <w:b w:val="0"/>
          <w:bCs w:val="0"/>
          <w:sz w:val="32"/>
          <w:szCs w:val="32"/>
          <w:u w:val="none"/>
        </w:rPr>
        <w:t>技术，建设综合监测、协同指挥的城市运行指挥平台，支撑智慧城市建设。</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92" w:name="_Toc14726"/>
      <w:r>
        <w:rPr>
          <w:rFonts w:hint="eastAsia"/>
          <w:b w:val="0"/>
          <w:bCs w:val="0"/>
          <w:sz w:val="32"/>
          <w:szCs w:val="32"/>
          <w:u w:val="none"/>
          <w:lang w:val="en-US"/>
        </w:rPr>
        <w:t>完善固体废物收运处理体系</w:t>
      </w:r>
      <w:bookmarkEnd w:id="192"/>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规划新建建筑垃圾资源化综合利用厂</w:t>
      </w:r>
      <w:r>
        <w:rPr>
          <w:rFonts w:hint="eastAsia"/>
          <w:b w:val="0"/>
          <w:bCs w:val="0"/>
          <w:sz w:val="32"/>
          <w:szCs w:val="32"/>
          <w:u w:val="none"/>
        </w:rPr>
        <w:t>1</w:t>
      </w:r>
      <w:r>
        <w:rPr>
          <w:rFonts w:hint="eastAsia" w:ascii="仿宋_GB2312"/>
          <w:b w:val="0"/>
          <w:bCs w:val="0"/>
          <w:sz w:val="32"/>
          <w:szCs w:val="32"/>
          <w:u w:val="none"/>
        </w:rPr>
        <w:t>座、资源综合利用中心</w:t>
      </w:r>
      <w:r>
        <w:rPr>
          <w:rFonts w:hint="eastAsia"/>
          <w:b w:val="0"/>
          <w:bCs w:val="0"/>
          <w:sz w:val="32"/>
          <w:szCs w:val="32"/>
          <w:u w:val="none"/>
        </w:rPr>
        <w:t>1</w:t>
      </w:r>
      <w:r>
        <w:rPr>
          <w:rFonts w:hint="eastAsia" w:ascii="仿宋_GB2312"/>
          <w:b w:val="0"/>
          <w:bCs w:val="0"/>
          <w:sz w:val="32"/>
          <w:szCs w:val="32"/>
          <w:u w:val="none"/>
        </w:rPr>
        <w:t>座，扩建资源综合利用中心</w:t>
      </w:r>
      <w:r>
        <w:rPr>
          <w:rFonts w:hint="eastAsia"/>
          <w:b w:val="0"/>
          <w:bCs w:val="0"/>
          <w:sz w:val="32"/>
          <w:szCs w:val="32"/>
          <w:u w:val="none"/>
        </w:rPr>
        <w:t>1</w:t>
      </w:r>
      <w:r>
        <w:rPr>
          <w:rFonts w:hint="eastAsia" w:ascii="仿宋_GB2312"/>
          <w:b w:val="0"/>
          <w:bCs w:val="0"/>
          <w:sz w:val="32"/>
          <w:szCs w:val="32"/>
          <w:u w:val="none"/>
        </w:rPr>
        <w:t>座，完善垃圾</w:t>
      </w:r>
      <w:r>
        <w:rPr>
          <w:rFonts w:hint="eastAsia"/>
          <w:b w:val="0"/>
          <w:bCs w:val="0"/>
          <w:sz w:val="32"/>
          <w:szCs w:val="32"/>
          <w:u w:val="none"/>
        </w:rPr>
        <w:t>分类</w:t>
      </w:r>
      <w:r>
        <w:rPr>
          <w:rFonts w:hint="eastAsia" w:ascii="仿宋_GB2312"/>
          <w:b w:val="0"/>
          <w:bCs w:val="0"/>
          <w:sz w:val="32"/>
          <w:szCs w:val="32"/>
          <w:u w:val="none"/>
        </w:rPr>
        <w:t>处理处置体系。新建中大型垃圾转运站</w:t>
      </w:r>
      <w:r>
        <w:rPr>
          <w:rFonts w:hint="eastAsia"/>
          <w:b w:val="0"/>
          <w:bCs w:val="0"/>
          <w:sz w:val="32"/>
          <w:szCs w:val="32"/>
          <w:u w:val="none"/>
        </w:rPr>
        <w:t>8</w:t>
      </w:r>
      <w:r>
        <w:rPr>
          <w:rFonts w:hint="eastAsia" w:ascii="仿宋_GB2312"/>
          <w:b w:val="0"/>
          <w:bCs w:val="0"/>
          <w:sz w:val="32"/>
          <w:szCs w:val="32"/>
          <w:u w:val="none"/>
        </w:rPr>
        <w:t>座，补齐小型垃圾转运站、垃圾转运车辆等设施设备短板，逐步完善垃圾分类收运体系。保持原生生活垃圾零填埋，生活垃圾无害化处理率</w:t>
      </w:r>
      <w:r>
        <w:rPr>
          <w:rFonts w:hint="eastAsia"/>
          <w:b w:val="0"/>
          <w:bCs w:val="0"/>
          <w:sz w:val="32"/>
          <w:szCs w:val="32"/>
          <w:u w:val="none"/>
        </w:rPr>
        <w:t>100</w:t>
      </w:r>
      <w:r>
        <w:rPr>
          <w:rFonts w:hint="eastAsia" w:ascii="仿宋_GB2312"/>
          <w:b w:val="0"/>
          <w:bCs w:val="0"/>
          <w:sz w:val="32"/>
          <w:szCs w:val="32"/>
          <w:u w:val="none"/>
        </w:rPr>
        <w:t>%，实现城市生活垃圾资源化利用率不低于</w:t>
      </w:r>
      <w:r>
        <w:rPr>
          <w:rFonts w:hint="eastAsia"/>
          <w:b w:val="0"/>
          <w:bCs w:val="0"/>
          <w:sz w:val="32"/>
          <w:szCs w:val="32"/>
          <w:u w:val="none"/>
        </w:rPr>
        <w:t>65</w:t>
      </w:r>
      <w:r>
        <w:rPr>
          <w:rFonts w:hint="eastAsia" w:ascii="仿宋_GB2312"/>
          <w:b w:val="0"/>
          <w:bCs w:val="0"/>
          <w:sz w:val="32"/>
          <w:szCs w:val="32"/>
          <w:u w:val="none"/>
        </w:rPr>
        <w:t>%。</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93" w:name="_Toc25610"/>
      <w:r>
        <w:rPr>
          <w:rFonts w:hint="eastAsia"/>
          <w:b w:val="0"/>
          <w:bCs w:val="0"/>
          <w:sz w:val="32"/>
          <w:szCs w:val="32"/>
          <w:u w:val="none"/>
          <w:lang w:val="en-US"/>
        </w:rPr>
        <w:t>提高城市防洪防涝能力</w:t>
      </w:r>
      <w:bookmarkEnd w:id="193"/>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提升外围防潮（洪）能力。因地制宜实施海堤防潮（洪）能力提升工程，构建连续外挡潮洪防线，情侣路海堤、中珠联围堤防按防潮能力不低于</w:t>
      </w:r>
      <w:r>
        <w:rPr>
          <w:rFonts w:hint="eastAsia"/>
          <w:b w:val="0"/>
          <w:bCs w:val="0"/>
          <w:sz w:val="32"/>
          <w:szCs w:val="32"/>
          <w:u w:val="none"/>
        </w:rPr>
        <w:t>200</w:t>
      </w:r>
      <w:r>
        <w:rPr>
          <w:rFonts w:hint="eastAsia" w:ascii="仿宋_GB2312"/>
          <w:b w:val="0"/>
          <w:bCs w:val="0"/>
          <w:sz w:val="32"/>
          <w:szCs w:val="32"/>
          <w:u w:val="none"/>
        </w:rPr>
        <w:t>年一遇、防洪能力不低于</w:t>
      </w:r>
      <w:r>
        <w:rPr>
          <w:rFonts w:hint="eastAsia"/>
          <w:b w:val="0"/>
          <w:bCs w:val="0"/>
          <w:sz w:val="32"/>
          <w:szCs w:val="32"/>
          <w:u w:val="none"/>
        </w:rPr>
        <w:t>100</w:t>
      </w:r>
      <w:r>
        <w:rPr>
          <w:rFonts w:hint="eastAsia" w:ascii="仿宋_GB2312"/>
          <w:b w:val="0"/>
          <w:bCs w:val="0"/>
          <w:sz w:val="32"/>
          <w:szCs w:val="32"/>
          <w:u w:val="none"/>
        </w:rPr>
        <w:t>年一遇提标加固，提升应对海平面上升及风暴潮影响能力，协同推进中珠联围十字门海堤等堤段生态堤防建设。</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提升内部排水防涝能力。充分发挥大境山水库等水库调洪功能，减少洪水下泄；发掘海滨公园等城市公园绿地</w:t>
      </w:r>
      <w:r>
        <w:rPr>
          <w:rFonts w:hint="eastAsia"/>
          <w:b w:val="0"/>
          <w:bCs w:val="0"/>
          <w:sz w:val="32"/>
          <w:szCs w:val="32"/>
          <w:u w:val="none"/>
        </w:rPr>
        <w:t>雨水</w:t>
      </w:r>
      <w:r>
        <w:rPr>
          <w:rFonts w:hint="eastAsia" w:ascii="仿宋_GB2312"/>
          <w:b w:val="0"/>
          <w:bCs w:val="0"/>
          <w:sz w:val="32"/>
          <w:szCs w:val="32"/>
          <w:u w:val="none"/>
        </w:rPr>
        <w:t>调蓄能力，增加调蓄水面；有序推进地下雨水管网提标改造，疏通雨水排放通道；新建石角咀等泵站，增加强排能力。</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94" w:name="_Toc25860"/>
      <w:r>
        <w:rPr>
          <w:rFonts w:hint="eastAsia"/>
          <w:b w:val="0"/>
          <w:bCs w:val="0"/>
          <w:sz w:val="32"/>
          <w:szCs w:val="32"/>
          <w:u w:val="none"/>
          <w:lang w:val="en-US"/>
        </w:rPr>
        <w:t>提升消防应急救援能力</w:t>
      </w:r>
      <w:bookmarkEnd w:id="194"/>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优化消防站布局。建强中心站、建密小型站，实现城市建成区消防救援</w:t>
      </w:r>
      <w:r>
        <w:rPr>
          <w:rFonts w:hint="eastAsia"/>
          <w:b w:val="0"/>
          <w:bCs w:val="0"/>
          <w:sz w:val="32"/>
          <w:szCs w:val="32"/>
          <w:u w:val="none"/>
        </w:rPr>
        <w:t>5</w:t>
      </w:r>
      <w:r>
        <w:rPr>
          <w:rFonts w:hint="eastAsia" w:ascii="仿宋_GB2312"/>
          <w:b w:val="0"/>
          <w:bCs w:val="0"/>
          <w:sz w:val="32"/>
          <w:szCs w:val="32"/>
          <w:u w:val="none"/>
        </w:rPr>
        <w:t>分钟全</w:t>
      </w:r>
      <w:r>
        <w:rPr>
          <w:rFonts w:hint="eastAsia"/>
          <w:b w:val="0"/>
          <w:bCs w:val="0"/>
          <w:sz w:val="32"/>
          <w:szCs w:val="32"/>
          <w:u w:val="none"/>
        </w:rPr>
        <w:t>覆盖</w:t>
      </w:r>
      <w:r>
        <w:rPr>
          <w:rFonts w:hint="eastAsia" w:ascii="仿宋_GB2312"/>
          <w:b w:val="0"/>
          <w:bCs w:val="0"/>
          <w:sz w:val="32"/>
          <w:szCs w:val="32"/>
          <w:u w:val="none"/>
        </w:rPr>
        <w:t>。</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丰富消防救援通道类型。结合超高层建筑和大型公共服务设施等布局拱北口岸、环球大厦等消防直升机起降点，搭建空中救援通道。结合水上消防站及客货运码头布局九洲港、港珠澳大桥等应急码头，搭建水上救援通道。结合消防设施用地，布局区域级消防站、香洲消防站等，搭建陆上救援通道。各救援通道相互支撑和联动。</w:t>
      </w:r>
    </w:p>
    <w:p>
      <w:pPr>
        <w:pStyle w:val="81"/>
        <w:keepNext w:val="0"/>
        <w:keepLines w:val="0"/>
        <w:pageBreakBefore w:val="0"/>
        <w:widowControl w:val="0"/>
        <w:numPr>
          <w:ilvl w:val="0"/>
          <w:numId w:val="9"/>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b w:val="0"/>
          <w:bCs w:val="0"/>
          <w:sz w:val="32"/>
          <w:szCs w:val="32"/>
          <w:u w:val="none"/>
        </w:rPr>
      </w:pPr>
      <w:bookmarkStart w:id="195" w:name="_Toc31482"/>
      <w:bookmarkStart w:id="196" w:name="_Toc138662017"/>
      <w:r>
        <w:rPr>
          <w:rFonts w:hint="eastAsia"/>
          <w:b w:val="0"/>
          <w:bCs w:val="0"/>
          <w:sz w:val="32"/>
          <w:szCs w:val="32"/>
          <w:u w:val="none"/>
        </w:rPr>
        <w:t>地下空间开发利用</w:t>
      </w:r>
      <w:bookmarkEnd w:id="195"/>
      <w:bookmarkEnd w:id="196"/>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97" w:name="_Toc24347"/>
      <w:r>
        <w:rPr>
          <w:rFonts w:hint="eastAsia"/>
          <w:b w:val="0"/>
          <w:bCs w:val="0"/>
          <w:sz w:val="32"/>
          <w:szCs w:val="32"/>
          <w:u w:val="none"/>
          <w:lang w:val="en-US"/>
        </w:rPr>
        <w:t>提高地下空间利用效率</w:t>
      </w:r>
      <w:bookmarkEnd w:id="197"/>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加强对地下空间利用的统筹谋划，逐步形成功能综合化、布局网络化的地下空间，完善城市功能，提高土地利用效率。因地制宜利用公共用地的地下空间资源，有效补充停车设施、体育健身设施等紧缺设施，便利居民生活。地下空间的开发利用应与人防工程建设专项规划相衔接。</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98" w:name="_Toc11935"/>
      <w:r>
        <w:rPr>
          <w:rFonts w:hint="eastAsia"/>
          <w:b w:val="0"/>
          <w:bCs w:val="0"/>
          <w:sz w:val="32"/>
          <w:szCs w:val="32"/>
          <w:u w:val="none"/>
          <w:lang w:val="en-US"/>
        </w:rPr>
        <w:t>实施地下空间利用分区管控</w:t>
      </w:r>
      <w:bookmarkEnd w:id="198"/>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划分地下空间重点建设区、一般建设区、限制建设区和禁止建设区，严格保护地下空间禁止建设区，审慎</w:t>
      </w:r>
      <w:r>
        <w:rPr>
          <w:rFonts w:hint="eastAsia"/>
          <w:b w:val="0"/>
          <w:bCs w:val="0"/>
          <w:sz w:val="32"/>
          <w:szCs w:val="32"/>
          <w:u w:val="none"/>
        </w:rPr>
        <w:t>利用</w:t>
      </w:r>
      <w:r>
        <w:rPr>
          <w:rFonts w:hint="eastAsia" w:ascii="仿宋_GB2312"/>
          <w:b w:val="0"/>
          <w:bCs w:val="0"/>
          <w:sz w:val="32"/>
          <w:szCs w:val="32"/>
          <w:u w:val="none"/>
        </w:rPr>
        <w:t>地下空间限制建设区，科学合理利用地下空间一般建设区。明确地下空间重点建设区，包括吉大旅游服务区、九洲港更新区、拱北口岸地区、九洲商贸地区、十字门北以及保税区二期等高强度开发地区及城市交通枢纽地区。</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199" w:name="_Toc17036"/>
      <w:r>
        <w:rPr>
          <w:rFonts w:hint="eastAsia"/>
          <w:b w:val="0"/>
          <w:bCs w:val="0"/>
          <w:sz w:val="32"/>
          <w:szCs w:val="32"/>
          <w:u w:val="none"/>
          <w:lang w:val="en-US"/>
        </w:rPr>
        <w:t>强化地上地下空间协同</w:t>
      </w:r>
      <w:bookmarkEnd w:id="199"/>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加强地上地下相关规划协同衔接，探索建立符合城市立体化建设要求的规划协同机制。强化地上地下功能布局统筹，打造横向相互连通、竖向分层安排的“立体城市”，预留轨道交通发展空间，推动地上地下一体化发展。注重地上地下空间权利统筹，实施地上地下分层确权机制。</w:t>
      </w:r>
    </w:p>
    <w:p>
      <w:pPr>
        <w:pStyle w:val="81"/>
        <w:keepNext w:val="0"/>
        <w:keepLines w:val="0"/>
        <w:pageBreakBefore w:val="0"/>
        <w:widowControl w:val="0"/>
        <w:numPr>
          <w:ilvl w:val="0"/>
          <w:numId w:val="9"/>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200" w:name="_Toc23754"/>
      <w:bookmarkStart w:id="201" w:name="_Toc138661987"/>
      <w:r>
        <w:rPr>
          <w:rFonts w:hint="eastAsia"/>
          <w:b w:val="0"/>
          <w:bCs w:val="0"/>
          <w:sz w:val="32"/>
          <w:szCs w:val="32"/>
          <w:u w:val="none"/>
        </w:rPr>
        <w:t>控制线划定与管控</w:t>
      </w:r>
      <w:bookmarkEnd w:id="200"/>
      <w:bookmarkEnd w:id="201"/>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202" w:name="_Toc13231"/>
      <w:r>
        <w:rPr>
          <w:rFonts w:hint="eastAsia"/>
          <w:b w:val="0"/>
          <w:bCs w:val="0"/>
          <w:sz w:val="32"/>
          <w:szCs w:val="32"/>
          <w:u w:val="none"/>
          <w:lang w:val="en-US"/>
        </w:rPr>
        <w:t>城市绿线</w:t>
      </w:r>
      <w:bookmarkEnd w:id="202"/>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将城镇开发边界内主要河涌水系沿岸的滨水绿地以及重要的结构性绿地划为城市绿线，主要包括海滨公园、景山公园、海天公园、圆明新园、香山湖公园、新中心人才公园、大马骝洲山公园和前山河两侧绿带等，按照《城市绿线管理办法》等相关法律法规要求进行管理。总规模不减少前提下，城市绿线的具体边界、定位可在详细规划编制和实施中落实；城市绿线的调整应符合国家有关规定。</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203" w:name="_Toc1815"/>
      <w:r>
        <w:rPr>
          <w:rFonts w:hint="eastAsia"/>
          <w:b w:val="0"/>
          <w:bCs w:val="0"/>
          <w:sz w:val="32"/>
          <w:szCs w:val="32"/>
          <w:u w:val="none"/>
          <w:lang w:val="en-US"/>
        </w:rPr>
        <w:t>城市蓝线</w:t>
      </w:r>
      <w:bookmarkEnd w:id="203"/>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将水利部门划定的河道和水库管理控制线范围内的水域划为城市蓝线，主要包括前山水道等河道和大镜山水库等大中型水库，按照《城市蓝线管理办法》等相关法律法规要求进行管理。总规模不减少前提下，城市蓝线的具体边界、定位可在详细规划编制和实施中落实；城市蓝线的调整应符合国家有关规定。</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204" w:name="_Toc27080"/>
      <w:r>
        <w:rPr>
          <w:rFonts w:hint="eastAsia"/>
          <w:b w:val="0"/>
          <w:bCs w:val="0"/>
          <w:sz w:val="32"/>
          <w:szCs w:val="32"/>
          <w:u w:val="none"/>
          <w:lang w:val="en-US"/>
        </w:rPr>
        <w:t>城市黄线</w:t>
      </w:r>
      <w:bookmarkEnd w:id="204"/>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将对城市发展全局有影响的、空间规划中确定的、必须控制的城市基础设施用地的控制界线划为城市黄线，按照《城市黄线管理办法》等相关法律法规要求进行管理。总规模不减少前提下，城市黄线的具体边界、定位可在详细规划编制和实施中落实；城市黄线的调整应符合国家有关规定。</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205" w:name="_Toc15209"/>
      <w:r>
        <w:rPr>
          <w:rFonts w:hint="eastAsia"/>
          <w:b w:val="0"/>
          <w:bCs w:val="0"/>
          <w:sz w:val="32"/>
          <w:szCs w:val="32"/>
          <w:u w:val="none"/>
          <w:lang w:val="en-US"/>
        </w:rPr>
        <w:t>城市紫线</w:t>
      </w:r>
      <w:bookmarkEnd w:id="205"/>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将历史文化街区的保护范围界限（核心保护区）、历史建筑（本体线）划为城市紫线，主要包括香洲埠</w:t>
      </w:r>
      <w:r>
        <w:rPr>
          <w:rFonts w:hint="eastAsia"/>
          <w:b w:val="0"/>
          <w:bCs w:val="0"/>
          <w:sz w:val="32"/>
          <w:szCs w:val="32"/>
          <w:u w:val="none"/>
        </w:rPr>
        <w:t>历史</w:t>
      </w:r>
      <w:r>
        <w:rPr>
          <w:rFonts w:hint="eastAsia" w:ascii="仿宋_GB2312"/>
          <w:b w:val="0"/>
          <w:bCs w:val="0"/>
          <w:sz w:val="32"/>
          <w:szCs w:val="32"/>
          <w:u w:val="none"/>
        </w:rPr>
        <w:t>文化街区、南屏历史文化街区以及中心城区已公布的历史保护建筑，按照《城市紫线管理办法》等相关法律法规要求进行管理。总规模不减少前提下，城市紫线的具体边界、定位可在详细规划编制和实施中落实；城市紫线的调整应符合国家有关规定。</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206" w:name="_Toc26651"/>
      <w:r>
        <w:rPr>
          <w:rFonts w:hint="eastAsia"/>
          <w:b w:val="0"/>
          <w:bCs w:val="0"/>
          <w:sz w:val="32"/>
          <w:szCs w:val="32"/>
          <w:u w:val="none"/>
          <w:lang w:val="en-US"/>
        </w:rPr>
        <w:t>工业用地控制线</w:t>
      </w:r>
      <w:bookmarkEnd w:id="206"/>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工业用地控制线按照《珠海经济特区工业用地控制线管理规定》等相关法律法规要求进行管理。优化二级控制线内存量空间功能调整，实施平台载体提级赋能工程，统筹周边零散用地，支持“工改工”“工业上楼”，鼓励成片改造，近远期结合，重点向产业提质、完善生活配套方向倾斜。</w:t>
      </w:r>
    </w:p>
    <w:p>
      <w:pPr>
        <w:pStyle w:val="81"/>
        <w:keepNext w:val="0"/>
        <w:keepLines w:val="0"/>
        <w:pageBreakBefore w:val="0"/>
        <w:widowControl w:val="0"/>
        <w:numPr>
          <w:ilvl w:val="0"/>
          <w:numId w:val="9"/>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207" w:name="_Toc4406"/>
      <w:r>
        <w:rPr>
          <w:rFonts w:hint="eastAsia"/>
          <w:b w:val="0"/>
          <w:bCs w:val="0"/>
          <w:sz w:val="32"/>
          <w:szCs w:val="32"/>
          <w:u w:val="none"/>
        </w:rPr>
        <w:t>详细规划单元划定与管控</w:t>
      </w:r>
      <w:bookmarkEnd w:id="207"/>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208" w:name="_Toc3195"/>
      <w:r>
        <w:rPr>
          <w:rFonts w:hint="eastAsia"/>
          <w:b w:val="0"/>
          <w:bCs w:val="0"/>
          <w:sz w:val="32"/>
          <w:szCs w:val="32"/>
          <w:u w:val="none"/>
          <w:lang w:val="en-US"/>
        </w:rPr>
        <w:t>划定基本城市组团和邻里单元</w:t>
      </w:r>
      <w:bookmarkEnd w:id="208"/>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落实四级空间架构，以镇街行政边界为基础，划定香湾-狮山、吉大、梅华-翠香、拱北、凤山、前山、南湾和“洪保十”等</w:t>
      </w:r>
      <w:r>
        <w:rPr>
          <w:b w:val="0"/>
          <w:bCs w:val="0"/>
          <w:sz w:val="32"/>
          <w:szCs w:val="32"/>
          <w:u w:val="none"/>
        </w:rPr>
        <w:t>8</w:t>
      </w:r>
      <w:r>
        <w:rPr>
          <w:rFonts w:hint="eastAsia" w:ascii="仿宋_GB2312"/>
          <w:b w:val="0"/>
          <w:bCs w:val="0"/>
          <w:sz w:val="32"/>
          <w:szCs w:val="32"/>
          <w:u w:val="none"/>
        </w:rPr>
        <w:t>个基本城市组团；综合考虑镇街行政边界、自然要素边界和组团规模要求，合并南屏镇和湾仔街道为南湾基本城市组团。结合</w:t>
      </w:r>
      <w:r>
        <w:rPr>
          <w:rFonts w:hint="eastAsia"/>
          <w:b w:val="0"/>
          <w:bCs w:val="0"/>
          <w:sz w:val="32"/>
          <w:szCs w:val="32"/>
          <w:u w:val="none"/>
        </w:rPr>
        <w:t>10</w:t>
      </w:r>
      <w:r>
        <w:rPr>
          <w:rFonts w:hint="eastAsia" w:ascii="仿宋_GB2312"/>
          <w:b w:val="0"/>
          <w:bCs w:val="0"/>
          <w:sz w:val="32"/>
          <w:szCs w:val="32"/>
          <w:u w:val="none"/>
        </w:rPr>
        <w:t>分钟生活圈，在中心城区范围内划定邻里单元。</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209" w:name="_Toc27226"/>
      <w:r>
        <w:rPr>
          <w:rFonts w:hint="eastAsia"/>
          <w:b w:val="0"/>
          <w:bCs w:val="0"/>
          <w:sz w:val="32"/>
          <w:szCs w:val="32"/>
          <w:u w:val="none"/>
          <w:lang w:val="en-US"/>
        </w:rPr>
        <w:t>加强详细规划传导和管控</w:t>
      </w:r>
      <w:bookmarkEnd w:id="209"/>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cs="Times New Roman"/>
          <w:b w:val="0"/>
          <w:bCs w:val="0"/>
          <w:sz w:val="32"/>
          <w:szCs w:val="32"/>
          <w:u w:val="none"/>
        </w:rPr>
      </w:pPr>
      <w:r>
        <w:rPr>
          <w:rFonts w:hint="eastAsia" w:ascii="仿宋_GB2312" w:hAnsi="仿宋" w:cs="Times New Roman"/>
          <w:b w:val="0"/>
          <w:bCs w:val="0"/>
          <w:kern w:val="0"/>
          <w:sz w:val="32"/>
          <w:szCs w:val="32"/>
          <w:u w:val="none"/>
        </w:rPr>
        <w:t>以基本城市组团为单位编制详细规划导则，以邻里单元为单位编制详细规划细则，落实底线管控和空间指引要求。</w:t>
      </w:r>
    </w:p>
    <w:bookmarkEnd w:id="144"/>
    <w:p>
      <w:pPr>
        <w:pStyle w:val="3"/>
        <w:keepNext w:val="0"/>
        <w:keepLines w:val="0"/>
        <w:pageBreakBefore w:val="0"/>
        <w:widowControl w:val="0"/>
        <w:kinsoku/>
        <w:wordWrap/>
        <w:overflowPunct/>
        <w:topLinePunct w:val="0"/>
        <w:autoSpaceDE/>
        <w:autoSpaceDN/>
        <w:bidi w:val="0"/>
        <w:adjustRightInd/>
        <w:snapToGrid/>
        <w:spacing w:before="0" w:beforeLines="0" w:after="0" w:afterLines="0" w:line="579" w:lineRule="exact"/>
        <w:textAlignment w:val="auto"/>
        <w:rPr>
          <w:b w:val="0"/>
          <w:bCs w:val="0"/>
          <w:sz w:val="32"/>
          <w:szCs w:val="32"/>
          <w:u w:val="none"/>
        </w:rPr>
        <w:sectPr>
          <w:pgSz w:w="11906" w:h="16838"/>
          <w:pgMar w:top="2041" w:right="1531" w:bottom="2041" w:left="1531" w:header="851" w:footer="1417" w:gutter="0"/>
          <w:paperSrc/>
          <w:pgNumType w:fmt="decimal"/>
          <w:cols w:space="720" w:num="1"/>
          <w:rtlGutter w:val="0"/>
          <w:docGrid w:type="linesAndChars" w:linePitch="607" w:charSpace="0"/>
        </w:sectPr>
      </w:pPr>
    </w:p>
    <w:p>
      <w:pPr>
        <w:pStyle w:val="3"/>
        <w:pageBreakBefore w:val="0"/>
        <w:kinsoku/>
        <w:wordWrap/>
        <w:overflowPunct/>
        <w:topLinePunct w:val="0"/>
        <w:autoSpaceDE/>
        <w:autoSpaceDN/>
        <w:bidi w:val="0"/>
        <w:adjustRightInd/>
        <w:snapToGrid/>
        <w:spacing w:before="0" w:beforeLines="0" w:after="0" w:afterLines="0" w:line="579" w:lineRule="exact"/>
        <w:textAlignment w:val="auto"/>
        <w:rPr>
          <w:rFonts w:hint="eastAsia" w:ascii="方正小标宋简体" w:hAnsi="方正小标宋简体" w:eastAsia="方正小标宋简体" w:cs="方正小标宋简体"/>
          <w:b w:val="0"/>
          <w:bCs w:val="0"/>
          <w:sz w:val="44"/>
          <w:szCs w:val="44"/>
          <w:u w:val="none"/>
        </w:rPr>
      </w:pPr>
      <w:bookmarkStart w:id="210" w:name="_Toc23362"/>
      <w:r>
        <w:rPr>
          <w:rFonts w:hint="eastAsia" w:ascii="方正小标宋简体" w:hAnsi="方正小标宋简体" w:eastAsia="方正小标宋简体" w:cs="方正小标宋简体"/>
          <w:b w:val="0"/>
          <w:bCs w:val="0"/>
          <w:sz w:val="44"/>
          <w:szCs w:val="44"/>
          <w:u w:val="none"/>
        </w:rPr>
        <w:t>历史文化保护和风貌塑造</w:t>
      </w:r>
      <w:bookmarkEnd w:id="210"/>
      <w:r>
        <w:rPr>
          <w:rFonts w:hint="eastAsia" w:ascii="方正小标宋简体" w:hAnsi="方正小标宋简体" w:eastAsia="方正小标宋简体" w:cs="方正小标宋简体"/>
          <w:b w:val="0"/>
          <w:bCs w:val="0"/>
          <w:sz w:val="44"/>
          <w:szCs w:val="44"/>
          <w:u w:val="none"/>
        </w:rPr>
        <w:t xml:space="preserve"> </w:t>
      </w:r>
    </w:p>
    <w:p>
      <w:pPr>
        <w:pStyle w:val="81"/>
        <w:keepNext/>
        <w:keepLines/>
        <w:pageBreakBefore w:val="0"/>
        <w:widowControl w:val="0"/>
        <w:numPr>
          <w:ilvl w:val="0"/>
          <w:numId w:val="10"/>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211" w:name="_Toc12774"/>
      <w:bookmarkStart w:id="212" w:name="_Toc138942669"/>
      <w:r>
        <w:rPr>
          <w:rFonts w:hint="eastAsia"/>
          <w:b w:val="0"/>
          <w:bCs w:val="0"/>
          <w:sz w:val="32"/>
          <w:szCs w:val="32"/>
          <w:u w:val="none"/>
        </w:rPr>
        <w:t>大生态空间体系</w:t>
      </w:r>
      <w:bookmarkEnd w:id="211"/>
      <w:bookmarkEnd w:id="212"/>
    </w:p>
    <w:p>
      <w:pPr>
        <w:pStyle w:val="85"/>
        <w:pageBreakBefore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13" w:name="_Toc32175"/>
      <w:r>
        <w:rPr>
          <w:rFonts w:hint="eastAsia"/>
          <w:b w:val="0"/>
          <w:bCs w:val="0"/>
          <w:sz w:val="32"/>
          <w:szCs w:val="32"/>
          <w:u w:val="none"/>
        </w:rPr>
        <w:t>构建生命共同体生态空间</w:t>
      </w:r>
      <w:r>
        <w:rPr>
          <w:rFonts w:hint="eastAsia"/>
          <w:b w:val="0"/>
          <w:bCs w:val="0"/>
          <w:sz w:val="32"/>
          <w:szCs w:val="32"/>
          <w:u w:val="none"/>
          <w:lang w:val="en-US"/>
        </w:rPr>
        <w:t>体系</w:t>
      </w:r>
      <w:bookmarkEnd w:id="213"/>
    </w:p>
    <w:p>
      <w:pPr>
        <w:pageBreakBefore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坚持山水林田湖草沙海生命共同体的理念，延续珠海组团型城市特色，坚持集约紧凑、功能混合、职住平衡、公交优先的发展模式，以山水林田湖草沙海为生态基底，以海洋</w:t>
      </w:r>
      <w:r>
        <w:rPr>
          <w:rFonts w:hint="eastAsia"/>
          <w:b w:val="0"/>
          <w:bCs w:val="0"/>
          <w:sz w:val="32"/>
          <w:szCs w:val="32"/>
          <w:u w:val="none"/>
        </w:rPr>
        <w:t>文化</w:t>
      </w:r>
      <w:r>
        <w:rPr>
          <w:rFonts w:hint="eastAsia" w:ascii="仿宋_GB2312" w:hAnsi="仿宋" w:cs="Times New Roman"/>
          <w:b w:val="0"/>
          <w:bCs w:val="0"/>
          <w:kern w:val="0"/>
          <w:sz w:val="32"/>
          <w:szCs w:val="32"/>
          <w:u w:val="none"/>
        </w:rPr>
        <w:t>为灵魂，以高快速路为主骨架，以基本城市组团为细胞，由轨道交通串联城市、片区、基本城市组团、邻里等四级中心，由绿道、碧道、古驿道、云道（健康步道）串联城乡公园、田园、广场、景区、历史文化遗产和民生公共服务设施，形成城市与自然高度融合、工作与休闲高度结合、交通与土地高度匹配的大生态空间体系。</w:t>
      </w:r>
    </w:p>
    <w:p>
      <w:pPr>
        <w:pStyle w:val="85"/>
        <w:pageBreakBefore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14" w:name="_Toc6123"/>
      <w:r>
        <w:rPr>
          <w:rFonts w:hint="eastAsia"/>
          <w:b w:val="0"/>
          <w:bCs w:val="0"/>
          <w:sz w:val="32"/>
          <w:szCs w:val="32"/>
          <w:u w:val="none"/>
          <w:lang w:val="en-US"/>
        </w:rPr>
        <w:t>营造</w:t>
      </w:r>
      <w:r>
        <w:rPr>
          <w:rFonts w:hint="eastAsia"/>
          <w:b w:val="0"/>
          <w:bCs w:val="0"/>
          <w:sz w:val="32"/>
          <w:szCs w:val="32"/>
          <w:u w:val="none"/>
        </w:rPr>
        <w:t>城市绿色空间</w:t>
      </w:r>
      <w:bookmarkEnd w:id="214"/>
    </w:p>
    <w:p>
      <w:pPr>
        <w:pageBreakBefore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高标准、全方位谋划推进绿美广东生态建设珠海实践，建设高水平城乡一体化绿美环境，不断提升珠海大湾区高品质森林城市生态价值。实施森林质量精准提升行动，按照适地适树原则，优化重要生态区域低效林的林分结构，持续改善林相，提升林分质量。实施城乡一体绿美提升行动，构建完善四级城乡公园体系，持续提升“五边”“四旁”绿化美化品质，鼓励村民充分利用荒地、边角地因地制宜打造小菜园、小果园、小花园、小公园，建设森林城镇、森林乡村、绿美古树乡村、绿美红色乡村等，实现城中林荫气爽、村庄绿树相映的绿美城乡人居环境。实施绿美保护地提升行动，建设示范性绿美保护区和示范性森林公园，开展红树林营造修复，让群众共享绿色空间。实施绿色通道品质提升行动，在高速公路、高速铁路、国省道等主要通道两侧山体，营造森林景观带，增强森林生态功能。提升绿道、碧道、古驿道森林景观，建设森林步道，串连丰富的山、海、城、田等自然人文景观，形成体验丰富的城市慢行空间体系。实施古树名木保护提升行动，开展古树名木资源监测调查，推进古树公园、绿美古树乡村建设，留住绿美广东乡愁记忆。实施全民爱绿植绿护绿行动，全面深入开展义务植树活动，打造特色主题林，营造全社会参与绿美广东生态建设的良好氛围。</w:t>
      </w:r>
    </w:p>
    <w:p>
      <w:pPr>
        <w:pageBreakBefore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磨刀门水道、鸡啼门水道等水边控制绿化带，为东西双城之间留出大型蓝绿开敞空间。高快速路两侧控制防护绿带、建设林荫式公共</w:t>
      </w:r>
      <w:r>
        <w:rPr>
          <w:rFonts w:hint="eastAsia"/>
          <w:b w:val="0"/>
          <w:bCs w:val="0"/>
          <w:sz w:val="32"/>
          <w:szCs w:val="32"/>
          <w:u w:val="none"/>
        </w:rPr>
        <w:t>绿地</w:t>
      </w:r>
      <w:r>
        <w:rPr>
          <w:rFonts w:hint="eastAsia" w:ascii="仿宋_GB2312" w:hAnsi="仿宋" w:cs="Times New Roman"/>
          <w:b w:val="0"/>
          <w:bCs w:val="0"/>
          <w:kern w:val="0"/>
          <w:sz w:val="32"/>
          <w:szCs w:val="32"/>
          <w:u w:val="none"/>
        </w:rPr>
        <w:t>，扩大公共绿地服务效率，营造在森林中畅游的车行体验；对于道路两侧空间受限的建成区，可根据现状建设和土地出让情况适量调减。道路空间退后绿带纳入道路红线范围，与道路统一规划统一建设统一管理，打造道路绿化空间整体景观效果。丰富公园体系，引导城市公园与稳定耕地和永久基本农田融合布局，将耕地融入城市绿色中，塑造都市田园景观。实施城市生态修复工程，保护城市山体和海岛自然风貌，修复江河、湖泊、湿地</w:t>
      </w:r>
      <w:r>
        <w:rPr>
          <w:rFonts w:hint="eastAsia" w:ascii="仿宋_GB2312" w:cs="Times New Roman"/>
          <w:b w:val="0"/>
          <w:bCs w:val="0"/>
          <w:sz w:val="32"/>
          <w:szCs w:val="32"/>
          <w:u w:val="none"/>
        </w:rPr>
        <w:t>、海岸带</w:t>
      </w:r>
      <w:r>
        <w:rPr>
          <w:rFonts w:hint="eastAsia" w:ascii="仿宋_GB2312" w:hAnsi="仿宋" w:cs="Times New Roman"/>
          <w:b w:val="0"/>
          <w:bCs w:val="0"/>
          <w:kern w:val="0"/>
          <w:sz w:val="32"/>
          <w:szCs w:val="32"/>
          <w:u w:val="none"/>
        </w:rPr>
        <w:t>，加强城市公园、绿地和绿道网络建设，推进立体绿化，构建连续完整的绿色生态空间体系。</w:t>
      </w:r>
    </w:p>
    <w:p>
      <w:pPr>
        <w:pStyle w:val="81"/>
        <w:keepNext/>
        <w:keepLines/>
        <w:pageBreakBefore w:val="0"/>
        <w:widowControl w:val="0"/>
        <w:numPr>
          <w:ilvl w:val="0"/>
          <w:numId w:val="10"/>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215" w:name="_Toc19045"/>
      <w:bookmarkStart w:id="216" w:name="_Toc138942679"/>
      <w:r>
        <w:rPr>
          <w:rFonts w:hint="eastAsia"/>
          <w:b w:val="0"/>
          <w:bCs w:val="0"/>
          <w:sz w:val="32"/>
          <w:szCs w:val="32"/>
          <w:u w:val="none"/>
        </w:rPr>
        <w:t>整体城市景观</w:t>
      </w:r>
      <w:bookmarkEnd w:id="215"/>
    </w:p>
    <w:p>
      <w:pPr>
        <w:pStyle w:val="85"/>
        <w:pageBreakBefore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17" w:name="_Toc409"/>
      <w:r>
        <w:rPr>
          <w:rFonts w:hint="eastAsia"/>
          <w:b w:val="0"/>
          <w:bCs w:val="0"/>
          <w:sz w:val="32"/>
          <w:szCs w:val="32"/>
          <w:u w:val="none"/>
        </w:rPr>
        <w:t>坚持中密度发展</w:t>
      </w:r>
      <w:bookmarkEnd w:id="217"/>
    </w:p>
    <w:p>
      <w:pPr>
        <w:pageBreakBefore w:val="0"/>
        <w:kinsoku/>
        <w:wordWrap/>
        <w:overflowPunct/>
        <w:topLinePunct w:val="0"/>
        <w:autoSpaceDE/>
        <w:autoSpaceDN/>
        <w:bidi w:val="0"/>
        <w:adjustRightInd/>
        <w:snapToGrid/>
        <w:spacing w:line="579" w:lineRule="exact"/>
        <w:ind w:firstLine="600"/>
        <w:textAlignment w:val="auto"/>
        <w:rPr>
          <w:rFonts w:hint="eastAsia" w:ascii="仿宋_GB2312" w:hAnsi="仿宋" w:cs="Times New Roman"/>
          <w:b w:val="0"/>
          <w:bCs w:val="0"/>
          <w:sz w:val="32"/>
          <w:szCs w:val="32"/>
          <w:u w:val="none"/>
        </w:rPr>
      </w:pPr>
      <w:r>
        <w:rPr>
          <w:rFonts w:hint="eastAsia" w:ascii="仿宋_GB2312" w:hAnsi="仿宋" w:cs="Times New Roman"/>
          <w:b w:val="0"/>
          <w:bCs w:val="0"/>
          <w:sz w:val="32"/>
          <w:szCs w:val="32"/>
          <w:u w:val="none"/>
        </w:rPr>
        <w:t>坚持宜居导向的“三度三线”</w:t>
      </w:r>
      <w:r>
        <w:rPr>
          <w:rStyle w:val="39"/>
          <w:b w:val="0"/>
          <w:bCs w:val="0"/>
          <w:sz w:val="32"/>
          <w:szCs w:val="32"/>
          <w:u w:val="none"/>
        </w:rPr>
        <w:footnoteReference w:id="16"/>
      </w:r>
      <w:r>
        <w:rPr>
          <w:rFonts w:hint="eastAsia" w:ascii="仿宋_GB2312" w:hAnsi="仿宋" w:cs="Times New Roman"/>
          <w:b w:val="0"/>
          <w:bCs w:val="0"/>
          <w:sz w:val="32"/>
          <w:szCs w:val="32"/>
          <w:u w:val="none"/>
        </w:rPr>
        <w:t>管控。全市整体人口密度控制在</w:t>
      </w:r>
      <w:r>
        <w:rPr>
          <w:rFonts w:hint="eastAsia" w:cs="Times New Roman"/>
          <w:b w:val="0"/>
          <w:bCs w:val="0"/>
          <w:sz w:val="32"/>
          <w:szCs w:val="32"/>
          <w:u w:val="none"/>
        </w:rPr>
        <w:t>8000</w:t>
      </w:r>
      <w:r>
        <w:rPr>
          <w:rFonts w:hint="eastAsia" w:ascii="仿宋_GB2312" w:hAnsi="仿宋" w:cs="Times New Roman"/>
          <w:b w:val="0"/>
          <w:bCs w:val="0"/>
          <w:sz w:val="32"/>
          <w:szCs w:val="32"/>
          <w:u w:val="none"/>
        </w:rPr>
        <w:t>-</w:t>
      </w:r>
      <w:r>
        <w:rPr>
          <w:rFonts w:hint="eastAsia" w:cs="Times New Roman"/>
          <w:b w:val="0"/>
          <w:bCs w:val="0"/>
          <w:sz w:val="32"/>
          <w:szCs w:val="32"/>
          <w:u w:val="none"/>
        </w:rPr>
        <w:t>10000</w:t>
      </w:r>
      <w:r>
        <w:rPr>
          <w:rFonts w:hint="eastAsia" w:ascii="仿宋_GB2312" w:hAnsi="仿宋" w:cs="Times New Roman"/>
          <w:b w:val="0"/>
          <w:bCs w:val="0"/>
          <w:sz w:val="32"/>
          <w:szCs w:val="32"/>
          <w:u w:val="none"/>
        </w:rPr>
        <w:t>人/平方公里，塑造中等密度城市。高强度建设城市中心地区、交通枢纽和公共服务设施周边地区，低强度开发山边、水边等公共开放空间区域。加强沿山体、沿滨水地区的建筑高度和通透率管控，勾画城市与自然相得益彰的天际线、山脊线、水岸线。</w:t>
      </w:r>
      <w:r>
        <w:rPr>
          <w:rFonts w:ascii="仿宋_GB2312" w:hAnsi="仿宋" w:cs="Times New Roman"/>
          <w:b w:val="0"/>
          <w:bCs w:val="0"/>
          <w:sz w:val="32"/>
          <w:szCs w:val="32"/>
          <w:u w:val="none"/>
        </w:rPr>
        <w:t>详见专栏</w:t>
      </w:r>
      <w:r>
        <w:rPr>
          <w:rFonts w:cs="Times New Roman"/>
          <w:b w:val="0"/>
          <w:bCs w:val="0"/>
          <w:sz w:val="32"/>
          <w:szCs w:val="32"/>
          <w:u w:val="none"/>
        </w:rPr>
        <w:t>9</w:t>
      </w:r>
      <w:r>
        <w:rPr>
          <w:rFonts w:ascii="仿宋_GB2312" w:hAnsi="仿宋" w:cs="Times New Roman"/>
          <w:b w:val="0"/>
          <w:bCs w:val="0"/>
          <w:sz w:val="32"/>
          <w:szCs w:val="32"/>
          <w:u w:val="none"/>
        </w:rPr>
        <w:t>-</w:t>
      </w:r>
      <w:r>
        <w:rPr>
          <w:rFonts w:cs="Times New Roman"/>
          <w:b w:val="0"/>
          <w:bCs w:val="0"/>
          <w:sz w:val="32"/>
          <w:szCs w:val="32"/>
          <w:u w:val="none"/>
        </w:rPr>
        <w:t>1</w:t>
      </w:r>
      <w:r>
        <w:rPr>
          <w:rFonts w:ascii="仿宋_GB2312" w:hAnsi="仿宋" w:cs="Times New Roman"/>
          <w:b w:val="0"/>
          <w:bCs w:val="0"/>
          <w:sz w:val="32"/>
          <w:szCs w:val="32"/>
          <w:u w:val="none"/>
        </w:rPr>
        <w:t>。</w:t>
      </w:r>
    </w:p>
    <w:tbl>
      <w:tblPr>
        <w:tblStyle w:val="32"/>
        <w:tblW w:w="0" w:type="auto"/>
        <w:tblInd w:w="0" w:type="dxa"/>
        <w:tblLayout w:type="fixed"/>
        <w:tblCellMar>
          <w:top w:w="0" w:type="dxa"/>
          <w:left w:w="108" w:type="dxa"/>
          <w:bottom w:w="0" w:type="dxa"/>
          <w:right w:w="108" w:type="dxa"/>
        </w:tblCellMar>
      </w:tblPr>
      <w:tblGrid>
        <w:gridCol w:w="1570"/>
        <w:gridCol w:w="7718"/>
      </w:tblGrid>
      <w:tr>
        <w:tblPrEx>
          <w:tblCellMar>
            <w:top w:w="0" w:type="dxa"/>
            <w:left w:w="108" w:type="dxa"/>
            <w:bottom w:w="0" w:type="dxa"/>
            <w:right w:w="108" w:type="dxa"/>
          </w:tblCellMar>
        </w:tblPrEx>
        <w:trPr>
          <w:wBefore w:w="0" w:type="dxa"/>
          <w:wAfter w:w="0" w:type="dxa"/>
          <w:cantSplit/>
          <w:trHeight w:val="285" w:hRule="atLeast"/>
          <w:tblHeader/>
        </w:trPr>
        <w:tc>
          <w:tcPr>
            <w:tcW w:w="9288" w:type="dxa"/>
            <w:gridSpan w:val="2"/>
            <w:tcBorders>
              <w:top w:val="single" w:color="auto" w:sz="4" w:space="0"/>
              <w:left w:val="single" w:color="auto" w:sz="4" w:space="0"/>
              <w:bottom w:val="single" w:color="auto" w:sz="4" w:space="0"/>
              <w:right w:val="single" w:color="auto" w:sz="4" w:space="0"/>
            </w:tcBorders>
            <w:shd w:val="clear" w:color="auto" w:fill="D9D9D9"/>
            <w:noWrap w:val="0"/>
            <w:vAlign w:val="center"/>
          </w:tcPr>
          <w:p>
            <w:pPr>
              <w:spacing w:before="46" w:after="46"/>
              <w:ind w:firstLine="0" w:firstLineChars="0"/>
              <w:jc w:val="center"/>
              <w:rPr>
                <w:rFonts w:hint="eastAsia"/>
                <w:b w:val="0"/>
                <w:bCs w:val="0"/>
                <w:u w:val="none"/>
              </w:rPr>
            </w:pPr>
            <w:r>
              <w:rPr>
                <w:rFonts w:hint="eastAsia" w:eastAsia="黑体" w:cs="Times New Roman"/>
                <w:b w:val="0"/>
                <w:bCs w:val="0"/>
                <w:kern w:val="0"/>
                <w:u w:val="none"/>
              </w:rPr>
              <w:t>专栏</w:t>
            </w:r>
            <w:r>
              <w:rPr>
                <w:rFonts w:eastAsia="黑体" w:cs="Times New Roman"/>
                <w:b w:val="0"/>
                <w:bCs w:val="0"/>
                <w:kern w:val="0"/>
                <w:u w:val="none"/>
              </w:rPr>
              <w:t>9-1：</w:t>
            </w:r>
            <w:r>
              <w:rPr>
                <w:rFonts w:hint="eastAsia" w:eastAsia="黑体" w:cs="Times New Roman"/>
                <w:b w:val="0"/>
                <w:bCs w:val="0"/>
                <w:kern w:val="0"/>
                <w:u w:val="none"/>
              </w:rPr>
              <w:t>城市开发强度和建筑高度分区</w:t>
            </w:r>
          </w:p>
        </w:tc>
      </w:tr>
      <w:tr>
        <w:tblPrEx>
          <w:tblCellMar>
            <w:top w:w="0" w:type="dxa"/>
            <w:left w:w="108" w:type="dxa"/>
            <w:bottom w:w="0" w:type="dxa"/>
            <w:right w:w="108" w:type="dxa"/>
          </w:tblCellMar>
        </w:tblPrEx>
        <w:trPr>
          <w:wBefore w:w="0" w:type="dxa"/>
          <w:wAfter w:w="0" w:type="dxa"/>
          <w:cantSplit/>
          <w:trHeight w:val="285" w:hRule="atLeast"/>
          <w:tblHeader/>
        </w:trPr>
        <w:tc>
          <w:tcPr>
            <w:tcW w:w="1570" w:type="dxa"/>
            <w:tcBorders>
              <w:top w:val="single" w:color="auto" w:sz="4" w:space="0"/>
              <w:left w:val="single" w:color="auto" w:sz="4" w:space="0"/>
              <w:bottom w:val="single" w:color="auto" w:sz="4" w:space="0"/>
              <w:right w:val="single" w:color="auto" w:sz="4" w:space="0"/>
            </w:tcBorders>
            <w:noWrap w:val="0"/>
            <w:vAlign w:val="center"/>
          </w:tcPr>
          <w:p>
            <w:pPr>
              <w:pStyle w:val="8"/>
              <w:rPr>
                <w:rFonts w:hint="eastAsia"/>
                <w:b w:val="0"/>
                <w:bCs w:val="0"/>
                <w:u w:val="none"/>
              </w:rPr>
            </w:pPr>
            <w:r>
              <w:rPr>
                <w:rFonts w:hint="eastAsia"/>
                <w:b w:val="0"/>
                <w:bCs w:val="0"/>
                <w:u w:val="none"/>
              </w:rPr>
              <w:t>分区</w:t>
            </w:r>
          </w:p>
        </w:tc>
        <w:tc>
          <w:tcPr>
            <w:tcW w:w="7718" w:type="dxa"/>
            <w:tcBorders>
              <w:top w:val="single" w:color="auto" w:sz="4" w:space="0"/>
              <w:left w:val="nil"/>
              <w:bottom w:val="single" w:color="auto" w:sz="4" w:space="0"/>
              <w:right w:val="single" w:color="auto" w:sz="4" w:space="0"/>
            </w:tcBorders>
            <w:noWrap w:val="0"/>
            <w:vAlign w:val="center"/>
          </w:tcPr>
          <w:p>
            <w:pPr>
              <w:pStyle w:val="8"/>
              <w:rPr>
                <w:rFonts w:hint="eastAsia"/>
                <w:b w:val="0"/>
                <w:bCs w:val="0"/>
                <w:u w:val="none"/>
              </w:rPr>
            </w:pPr>
            <w:r>
              <w:rPr>
                <w:rFonts w:hint="eastAsia"/>
                <w:b w:val="0"/>
                <w:bCs w:val="0"/>
                <w:u w:val="none"/>
              </w:rPr>
              <w:t>主要区位特征</w:t>
            </w:r>
          </w:p>
        </w:tc>
      </w:tr>
      <w:tr>
        <w:tblPrEx>
          <w:tblCellMar>
            <w:top w:w="0" w:type="dxa"/>
            <w:left w:w="108" w:type="dxa"/>
            <w:bottom w:w="0" w:type="dxa"/>
            <w:right w:w="108" w:type="dxa"/>
          </w:tblCellMar>
        </w:tblPrEx>
        <w:trPr>
          <w:wBefore w:w="0" w:type="dxa"/>
          <w:wAfter w:w="0" w:type="dxa"/>
          <w:cantSplit/>
          <w:trHeight w:val="283" w:hRule="atLeast"/>
          <w:tblHeader/>
        </w:trPr>
        <w:tc>
          <w:tcPr>
            <w:tcW w:w="1570" w:type="dxa"/>
            <w:tcBorders>
              <w:top w:val="nil"/>
              <w:left w:val="single" w:color="auto" w:sz="4" w:space="0"/>
              <w:bottom w:val="single" w:color="auto" w:sz="4" w:space="0"/>
              <w:right w:val="single" w:color="auto" w:sz="4" w:space="0"/>
            </w:tcBorders>
            <w:noWrap w:val="0"/>
            <w:vAlign w:val="center"/>
          </w:tcPr>
          <w:p>
            <w:pPr>
              <w:pStyle w:val="8"/>
              <w:rPr>
                <w:rFonts w:hint="eastAsia"/>
                <w:b w:val="0"/>
                <w:bCs w:val="0"/>
                <w:u w:val="none"/>
              </w:rPr>
            </w:pPr>
            <w:r>
              <w:rPr>
                <w:rFonts w:hint="eastAsia"/>
                <w:b w:val="0"/>
                <w:bCs w:val="0"/>
                <w:u w:val="none"/>
              </w:rPr>
              <w:t>高强度区</w:t>
            </w:r>
          </w:p>
        </w:tc>
        <w:tc>
          <w:tcPr>
            <w:tcW w:w="7718" w:type="dxa"/>
            <w:tcBorders>
              <w:top w:val="nil"/>
              <w:left w:val="nil"/>
              <w:bottom w:val="single" w:color="auto" w:sz="4" w:space="0"/>
              <w:right w:val="single" w:color="auto" w:sz="4" w:space="0"/>
            </w:tcBorders>
            <w:noWrap w:val="0"/>
            <w:vAlign w:val="center"/>
          </w:tcPr>
          <w:p>
            <w:pPr>
              <w:pStyle w:val="8"/>
              <w:rPr>
                <w:rFonts w:hint="eastAsia"/>
                <w:b w:val="0"/>
                <w:bCs w:val="0"/>
                <w:u w:val="none"/>
              </w:rPr>
            </w:pPr>
            <w:r>
              <w:rPr>
                <w:rFonts w:hint="eastAsia"/>
                <w:b w:val="0"/>
                <w:bCs w:val="0"/>
                <w:u w:val="none"/>
              </w:rPr>
              <w:t>市级综合中心、市级专业化中心、片区中心、轨道枢纽站点周边地区</w:t>
            </w:r>
          </w:p>
        </w:tc>
      </w:tr>
      <w:tr>
        <w:tblPrEx>
          <w:tblCellMar>
            <w:top w:w="0" w:type="dxa"/>
            <w:left w:w="108" w:type="dxa"/>
            <w:bottom w:w="0" w:type="dxa"/>
            <w:right w:w="108" w:type="dxa"/>
          </w:tblCellMar>
        </w:tblPrEx>
        <w:trPr>
          <w:wBefore w:w="0" w:type="dxa"/>
          <w:wAfter w:w="0" w:type="dxa"/>
          <w:cantSplit/>
          <w:trHeight w:val="570" w:hRule="atLeast"/>
          <w:tblHeader/>
        </w:trPr>
        <w:tc>
          <w:tcPr>
            <w:tcW w:w="1570" w:type="dxa"/>
            <w:tcBorders>
              <w:top w:val="nil"/>
              <w:left w:val="single" w:color="auto" w:sz="4" w:space="0"/>
              <w:bottom w:val="single" w:color="auto" w:sz="4" w:space="0"/>
              <w:right w:val="single" w:color="auto" w:sz="4" w:space="0"/>
            </w:tcBorders>
            <w:noWrap w:val="0"/>
            <w:vAlign w:val="center"/>
          </w:tcPr>
          <w:p>
            <w:pPr>
              <w:pStyle w:val="8"/>
              <w:rPr>
                <w:rFonts w:hint="eastAsia"/>
                <w:b w:val="0"/>
                <w:bCs w:val="0"/>
                <w:u w:val="none"/>
              </w:rPr>
            </w:pPr>
            <w:r>
              <w:rPr>
                <w:rFonts w:hint="eastAsia"/>
                <w:b w:val="0"/>
                <w:bCs w:val="0"/>
                <w:u w:val="none"/>
              </w:rPr>
              <w:t>中高强度区</w:t>
            </w:r>
          </w:p>
        </w:tc>
        <w:tc>
          <w:tcPr>
            <w:tcW w:w="7718" w:type="dxa"/>
            <w:tcBorders>
              <w:top w:val="nil"/>
              <w:left w:val="nil"/>
              <w:bottom w:val="single" w:color="auto" w:sz="4" w:space="0"/>
              <w:right w:val="single" w:color="auto" w:sz="4" w:space="0"/>
            </w:tcBorders>
            <w:noWrap w:val="0"/>
            <w:vAlign w:val="center"/>
          </w:tcPr>
          <w:p>
            <w:pPr>
              <w:pStyle w:val="8"/>
              <w:rPr>
                <w:rFonts w:hint="eastAsia"/>
                <w:b w:val="0"/>
                <w:bCs w:val="0"/>
                <w:u w:val="none"/>
              </w:rPr>
            </w:pPr>
            <w:r>
              <w:rPr>
                <w:rFonts w:hint="eastAsia"/>
                <w:b w:val="0"/>
                <w:bCs w:val="0"/>
                <w:u w:val="none"/>
              </w:rPr>
              <w:t>中心城区里市级综合中心和市级专业化中心的外围地区、基本城市组团中心及其他功能节点周边地区</w:t>
            </w:r>
          </w:p>
        </w:tc>
      </w:tr>
      <w:tr>
        <w:tblPrEx>
          <w:tblCellMar>
            <w:top w:w="0" w:type="dxa"/>
            <w:left w:w="108" w:type="dxa"/>
            <w:bottom w:w="0" w:type="dxa"/>
            <w:right w:w="108" w:type="dxa"/>
          </w:tblCellMar>
        </w:tblPrEx>
        <w:trPr>
          <w:wBefore w:w="0" w:type="dxa"/>
          <w:wAfter w:w="0" w:type="dxa"/>
          <w:cantSplit/>
          <w:trHeight w:val="285" w:hRule="atLeast"/>
          <w:tblHeader/>
        </w:trPr>
        <w:tc>
          <w:tcPr>
            <w:tcW w:w="1570" w:type="dxa"/>
            <w:tcBorders>
              <w:top w:val="nil"/>
              <w:left w:val="single" w:color="auto" w:sz="4" w:space="0"/>
              <w:bottom w:val="single" w:color="auto" w:sz="4" w:space="0"/>
              <w:right w:val="single" w:color="auto" w:sz="4" w:space="0"/>
            </w:tcBorders>
            <w:noWrap w:val="0"/>
            <w:vAlign w:val="center"/>
          </w:tcPr>
          <w:p>
            <w:pPr>
              <w:pStyle w:val="8"/>
              <w:rPr>
                <w:rFonts w:hint="eastAsia"/>
                <w:b w:val="0"/>
                <w:bCs w:val="0"/>
                <w:u w:val="none"/>
              </w:rPr>
            </w:pPr>
            <w:r>
              <w:rPr>
                <w:rFonts w:hint="eastAsia"/>
                <w:b w:val="0"/>
                <w:bCs w:val="0"/>
                <w:u w:val="none"/>
              </w:rPr>
              <w:t>中强度区</w:t>
            </w:r>
          </w:p>
        </w:tc>
        <w:tc>
          <w:tcPr>
            <w:tcW w:w="7718" w:type="dxa"/>
            <w:tcBorders>
              <w:top w:val="nil"/>
              <w:left w:val="nil"/>
              <w:bottom w:val="single" w:color="auto" w:sz="4" w:space="0"/>
              <w:right w:val="single" w:color="auto" w:sz="4" w:space="0"/>
            </w:tcBorders>
            <w:noWrap w:val="0"/>
            <w:vAlign w:val="center"/>
          </w:tcPr>
          <w:p>
            <w:pPr>
              <w:pStyle w:val="8"/>
              <w:rPr>
                <w:rFonts w:hint="eastAsia"/>
                <w:b w:val="0"/>
                <w:bCs w:val="0"/>
                <w:u w:val="none"/>
              </w:rPr>
            </w:pPr>
            <w:r>
              <w:rPr>
                <w:rFonts w:hint="eastAsia"/>
                <w:b w:val="0"/>
                <w:bCs w:val="0"/>
                <w:u w:val="none"/>
              </w:rPr>
              <w:t>城市一般地区</w:t>
            </w:r>
          </w:p>
        </w:tc>
      </w:tr>
      <w:tr>
        <w:tblPrEx>
          <w:tblCellMar>
            <w:top w:w="0" w:type="dxa"/>
            <w:left w:w="108" w:type="dxa"/>
            <w:bottom w:w="0" w:type="dxa"/>
            <w:right w:w="108" w:type="dxa"/>
          </w:tblCellMar>
        </w:tblPrEx>
        <w:trPr>
          <w:wBefore w:w="0" w:type="dxa"/>
          <w:wAfter w:w="0" w:type="dxa"/>
          <w:cantSplit/>
          <w:trHeight w:val="283" w:hRule="atLeast"/>
          <w:tblHeader/>
        </w:trPr>
        <w:tc>
          <w:tcPr>
            <w:tcW w:w="1570" w:type="dxa"/>
            <w:tcBorders>
              <w:top w:val="single" w:color="auto" w:sz="4" w:space="0"/>
              <w:left w:val="single" w:color="auto" w:sz="4" w:space="0"/>
              <w:bottom w:val="single" w:color="auto" w:sz="4" w:space="0"/>
              <w:right w:val="single" w:color="auto" w:sz="4" w:space="0"/>
            </w:tcBorders>
            <w:noWrap w:val="0"/>
            <w:vAlign w:val="center"/>
          </w:tcPr>
          <w:p>
            <w:pPr>
              <w:pStyle w:val="8"/>
              <w:rPr>
                <w:rFonts w:hint="eastAsia"/>
                <w:b w:val="0"/>
                <w:bCs w:val="0"/>
                <w:u w:val="none"/>
              </w:rPr>
            </w:pPr>
            <w:r>
              <w:rPr>
                <w:rFonts w:hint="eastAsia"/>
                <w:b w:val="0"/>
                <w:bCs w:val="0"/>
                <w:u w:val="none"/>
              </w:rPr>
              <w:t>中低强度区</w:t>
            </w:r>
          </w:p>
        </w:tc>
        <w:tc>
          <w:tcPr>
            <w:tcW w:w="7718" w:type="dxa"/>
            <w:tcBorders>
              <w:top w:val="single" w:color="auto" w:sz="4" w:space="0"/>
              <w:left w:val="nil"/>
              <w:bottom w:val="single" w:color="auto" w:sz="4" w:space="0"/>
              <w:right w:val="single" w:color="auto" w:sz="4" w:space="0"/>
            </w:tcBorders>
            <w:noWrap w:val="0"/>
            <w:vAlign w:val="center"/>
          </w:tcPr>
          <w:p>
            <w:pPr>
              <w:pStyle w:val="8"/>
              <w:rPr>
                <w:rFonts w:hint="eastAsia"/>
                <w:b w:val="0"/>
                <w:bCs w:val="0"/>
                <w:u w:val="none"/>
              </w:rPr>
            </w:pPr>
            <w:r>
              <w:rPr>
                <w:rFonts w:hint="eastAsia"/>
                <w:b w:val="0"/>
                <w:bCs w:val="0"/>
                <w:u w:val="none"/>
              </w:rPr>
              <w:t>城镇发展区内除上述地区外的其他地区</w:t>
            </w:r>
          </w:p>
        </w:tc>
      </w:tr>
    </w:tbl>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18" w:name="_Toc14724"/>
      <w:r>
        <w:rPr>
          <w:rFonts w:hint="eastAsia"/>
          <w:b w:val="0"/>
          <w:bCs w:val="0"/>
          <w:sz w:val="32"/>
          <w:szCs w:val="32"/>
          <w:u w:val="none"/>
        </w:rPr>
        <w:t>整合全域旅游资源</w:t>
      </w:r>
      <w:bookmarkEnd w:id="218"/>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hAnsi="仿宋" w:cs="Times New Roman"/>
          <w:b w:val="0"/>
          <w:bCs w:val="0"/>
          <w:sz w:val="32"/>
          <w:szCs w:val="32"/>
          <w:u w:val="none"/>
        </w:rPr>
      </w:pPr>
      <w:r>
        <w:rPr>
          <w:rFonts w:hint="eastAsia" w:ascii="仿宋_GB2312" w:hAnsi="仿宋" w:cs="Times New Roman"/>
          <w:b w:val="0"/>
          <w:bCs w:val="0"/>
          <w:sz w:val="32"/>
          <w:szCs w:val="32"/>
          <w:u w:val="none"/>
        </w:rPr>
        <w:t>把城市全域作为旅游景区打造，将旅游与自然资源相结合，探索生态旅游新模式。将旅游与历史文化保护相结合，在休闲旅游中活化和保护历史遗产，在体现文化价值中提升休闲旅游品质。将旅游与城市空间相结合，营造步移景异的精品城市氛围。开展城区、功能中心、旅游景点、山水田园、海洋海岛海岸带、历史文化遗产等全域陆海资源的游线组织，全面提升珠海“整体城市景观入选旅游胜地四十佳”旅游品牌的内涵和品质。</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19" w:name="_Toc138942677"/>
      <w:bookmarkStart w:id="220" w:name="_Toc23779"/>
      <w:r>
        <w:rPr>
          <w:rFonts w:hint="eastAsia"/>
          <w:b w:val="0"/>
          <w:bCs w:val="0"/>
          <w:sz w:val="32"/>
          <w:szCs w:val="32"/>
          <w:u w:val="none"/>
        </w:rPr>
        <w:t>塑造城市</w:t>
      </w:r>
      <w:r>
        <w:rPr>
          <w:rFonts w:hint="eastAsia"/>
          <w:b w:val="0"/>
          <w:bCs w:val="0"/>
          <w:sz w:val="32"/>
          <w:szCs w:val="32"/>
          <w:u w:val="none"/>
          <w:lang w:val="en-US"/>
        </w:rPr>
        <w:t>景观</w:t>
      </w:r>
      <w:r>
        <w:rPr>
          <w:rFonts w:hint="eastAsia"/>
          <w:b w:val="0"/>
          <w:bCs w:val="0"/>
          <w:sz w:val="32"/>
          <w:szCs w:val="32"/>
          <w:u w:val="none"/>
        </w:rPr>
        <w:t>风貌</w:t>
      </w:r>
      <w:bookmarkEnd w:id="219"/>
      <w:bookmarkEnd w:id="220"/>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hAnsi="仿宋" w:cs="Times New Roman"/>
          <w:b w:val="0"/>
          <w:bCs w:val="0"/>
          <w:sz w:val="32"/>
          <w:szCs w:val="32"/>
          <w:u w:val="none"/>
        </w:rPr>
      </w:pPr>
      <w:r>
        <w:rPr>
          <w:rFonts w:hint="eastAsia" w:ascii="仿宋_GB2312" w:hAnsi="仿宋" w:cs="宋体"/>
          <w:b w:val="0"/>
          <w:bCs w:val="0"/>
          <w:kern w:val="0"/>
          <w:sz w:val="32"/>
          <w:szCs w:val="32"/>
          <w:u w:val="none"/>
        </w:rPr>
        <w:t>以自然生</w:t>
      </w:r>
      <w:r>
        <w:rPr>
          <w:rFonts w:ascii="仿宋_GB2312" w:hAnsi="仿宋" w:cs="宋体"/>
          <w:b w:val="0"/>
          <w:bCs w:val="0"/>
          <w:kern w:val="0"/>
          <w:sz w:val="32"/>
          <w:szCs w:val="32"/>
          <w:u w:val="none"/>
        </w:rPr>
        <w:t>态</w:t>
      </w:r>
      <w:r>
        <w:rPr>
          <w:rFonts w:hint="eastAsia" w:ascii="仿宋_GB2312" w:hAnsi="仿宋" w:cs="宋体"/>
          <w:b w:val="0"/>
          <w:bCs w:val="0"/>
          <w:kern w:val="0"/>
          <w:sz w:val="32"/>
          <w:szCs w:val="32"/>
          <w:u w:val="none"/>
        </w:rPr>
        <w:t>景观为基底，彰显滨海、滨江、田园、海岛等风貌特色，形成东</w:t>
      </w:r>
      <w:r>
        <w:rPr>
          <w:rFonts w:ascii="仿宋_GB2312" w:hAnsi="仿宋" w:cs="宋体"/>
          <w:b w:val="0"/>
          <w:bCs w:val="0"/>
          <w:kern w:val="0"/>
          <w:sz w:val="32"/>
          <w:szCs w:val="32"/>
          <w:u w:val="none"/>
        </w:rPr>
        <w:t>部</w:t>
      </w:r>
      <w:r>
        <w:rPr>
          <w:rFonts w:hint="eastAsia" w:ascii="仿宋_GB2312" w:hAnsi="仿宋" w:cs="宋体"/>
          <w:b w:val="0"/>
          <w:bCs w:val="0"/>
          <w:kern w:val="0"/>
          <w:sz w:val="32"/>
          <w:szCs w:val="32"/>
          <w:u w:val="none"/>
        </w:rPr>
        <w:t>滨海花园、中</w:t>
      </w:r>
      <w:r>
        <w:rPr>
          <w:rFonts w:ascii="仿宋_GB2312" w:hAnsi="仿宋" w:cs="宋体"/>
          <w:b w:val="0"/>
          <w:bCs w:val="0"/>
          <w:kern w:val="0"/>
          <w:sz w:val="32"/>
          <w:szCs w:val="32"/>
          <w:u w:val="none"/>
        </w:rPr>
        <w:t>部</w:t>
      </w:r>
      <w:r>
        <w:rPr>
          <w:rFonts w:hint="eastAsia" w:ascii="仿宋_GB2312" w:hAnsi="仿宋" w:cs="宋体"/>
          <w:b w:val="0"/>
          <w:bCs w:val="0"/>
          <w:kern w:val="0"/>
          <w:sz w:val="32"/>
          <w:szCs w:val="32"/>
          <w:u w:val="none"/>
        </w:rPr>
        <w:t>滨江田园、南</w:t>
      </w:r>
      <w:r>
        <w:rPr>
          <w:rFonts w:ascii="仿宋_GB2312" w:hAnsi="仿宋" w:cs="宋体"/>
          <w:b w:val="0"/>
          <w:bCs w:val="0"/>
          <w:kern w:val="0"/>
          <w:sz w:val="32"/>
          <w:szCs w:val="32"/>
          <w:u w:val="none"/>
        </w:rPr>
        <w:t>部</w:t>
      </w:r>
      <w:r>
        <w:rPr>
          <w:rFonts w:hint="eastAsia" w:ascii="仿宋_GB2312" w:hAnsi="仿宋" w:cs="宋体"/>
          <w:b w:val="0"/>
          <w:bCs w:val="0"/>
          <w:kern w:val="0"/>
          <w:sz w:val="32"/>
          <w:szCs w:val="32"/>
          <w:u w:val="none"/>
        </w:rPr>
        <w:t>海岛、北</w:t>
      </w:r>
      <w:r>
        <w:rPr>
          <w:rFonts w:ascii="仿宋_GB2312" w:hAnsi="仿宋" w:cs="宋体"/>
          <w:b w:val="0"/>
          <w:bCs w:val="0"/>
          <w:kern w:val="0"/>
          <w:sz w:val="32"/>
          <w:szCs w:val="32"/>
          <w:u w:val="none"/>
        </w:rPr>
        <w:t>部</w:t>
      </w:r>
      <w:r>
        <w:rPr>
          <w:rFonts w:hint="eastAsia" w:ascii="仿宋_GB2312" w:hAnsi="仿宋" w:cs="宋体"/>
          <w:b w:val="0"/>
          <w:bCs w:val="0"/>
          <w:kern w:val="0"/>
          <w:sz w:val="32"/>
          <w:szCs w:val="32"/>
          <w:u w:val="none"/>
        </w:rPr>
        <w:t>生态水乡和西部产业新城等五大景观风貌区，持续塑造“山海相拥、陆岛相望、城田相依”的城市意象。详见专栏</w:t>
      </w:r>
      <w:r>
        <w:rPr>
          <w:rFonts w:cs="宋体"/>
          <w:b w:val="0"/>
          <w:bCs w:val="0"/>
          <w:kern w:val="0"/>
          <w:sz w:val="32"/>
          <w:szCs w:val="32"/>
          <w:u w:val="none"/>
        </w:rPr>
        <w:t>9</w:t>
      </w:r>
      <w:r>
        <w:rPr>
          <w:rFonts w:ascii="仿宋_GB2312" w:hAnsi="仿宋" w:cs="宋体"/>
          <w:b w:val="0"/>
          <w:bCs w:val="0"/>
          <w:kern w:val="0"/>
          <w:sz w:val="32"/>
          <w:szCs w:val="32"/>
          <w:u w:val="none"/>
        </w:rPr>
        <w:t>-</w:t>
      </w:r>
      <w:r>
        <w:rPr>
          <w:rFonts w:cs="宋体"/>
          <w:b w:val="0"/>
          <w:bCs w:val="0"/>
          <w:kern w:val="0"/>
          <w:sz w:val="32"/>
          <w:szCs w:val="32"/>
          <w:u w:val="none"/>
        </w:rPr>
        <w:t>2</w:t>
      </w:r>
      <w:r>
        <w:rPr>
          <w:rFonts w:ascii="仿宋_GB2312" w:hAnsi="仿宋" w:cs="宋体"/>
          <w:b w:val="0"/>
          <w:bCs w:val="0"/>
          <w:kern w:val="0"/>
          <w:sz w:val="32"/>
          <w:szCs w:val="32"/>
          <w:u w:val="none"/>
        </w:rPr>
        <w:t>、专栏</w:t>
      </w:r>
      <w:r>
        <w:rPr>
          <w:rFonts w:cs="宋体"/>
          <w:b w:val="0"/>
          <w:bCs w:val="0"/>
          <w:kern w:val="0"/>
          <w:sz w:val="32"/>
          <w:szCs w:val="32"/>
          <w:u w:val="none"/>
        </w:rPr>
        <w:t>9</w:t>
      </w:r>
      <w:r>
        <w:rPr>
          <w:rFonts w:ascii="仿宋_GB2312" w:hAnsi="仿宋" w:cs="宋体"/>
          <w:b w:val="0"/>
          <w:bCs w:val="0"/>
          <w:kern w:val="0"/>
          <w:sz w:val="32"/>
          <w:szCs w:val="32"/>
          <w:u w:val="none"/>
        </w:rPr>
        <w:t>-</w:t>
      </w:r>
      <w:r>
        <w:rPr>
          <w:rFonts w:cs="宋体"/>
          <w:b w:val="0"/>
          <w:bCs w:val="0"/>
          <w:kern w:val="0"/>
          <w:sz w:val="32"/>
          <w:szCs w:val="32"/>
          <w:u w:val="none"/>
        </w:rPr>
        <w:t>3</w:t>
      </w:r>
      <w:r>
        <w:rPr>
          <w:rFonts w:ascii="仿宋_GB2312" w:hAnsi="仿宋" w:cs="宋体"/>
          <w:b w:val="0"/>
          <w:bCs w:val="0"/>
          <w:kern w:val="0"/>
          <w:sz w:val="32"/>
          <w:szCs w:val="32"/>
          <w:u w:val="none"/>
        </w:rPr>
        <w:t>。</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8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10" w:hRule="atLeast"/>
          <w:tblHeader/>
          <w:jc w:val="center"/>
        </w:trPr>
        <w:tc>
          <w:tcPr>
            <w:tcW w:w="9440" w:type="dxa"/>
            <w:gridSpan w:val="2"/>
            <w:shd w:val="clear" w:color="auto" w:fill="D9D9D9"/>
            <w:noWrap w:val="0"/>
            <w:vAlign w:val="center"/>
          </w:tcPr>
          <w:p>
            <w:pPr>
              <w:spacing w:before="46" w:after="46"/>
              <w:ind w:firstLine="0" w:firstLineChars="0"/>
              <w:jc w:val="center"/>
              <w:rPr>
                <w:rFonts w:hint="eastAsia"/>
                <w:b w:val="0"/>
                <w:bCs w:val="0"/>
                <w:u w:val="none"/>
              </w:rPr>
            </w:pPr>
            <w:r>
              <w:rPr>
                <w:rFonts w:eastAsia="黑体" w:cs="Times New Roman"/>
                <w:b w:val="0"/>
                <w:bCs w:val="0"/>
                <w:kern w:val="0"/>
                <w:u w:val="none"/>
              </w:rPr>
              <w:t>专栏9-2：</w:t>
            </w:r>
            <w:r>
              <w:rPr>
                <w:rFonts w:hint="eastAsia" w:eastAsia="黑体" w:cs="Times New Roman"/>
                <w:b w:val="0"/>
                <w:bCs w:val="0"/>
                <w:kern w:val="0"/>
                <w:u w:val="none"/>
              </w:rPr>
              <w:t>整体景观风貌指引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67" w:hRule="atLeast"/>
          <w:tblHeader/>
          <w:jc w:val="center"/>
        </w:trPr>
        <w:tc>
          <w:tcPr>
            <w:tcW w:w="1318" w:type="dxa"/>
            <w:noWrap w:val="0"/>
            <w:vAlign w:val="center"/>
          </w:tcPr>
          <w:p>
            <w:pPr>
              <w:pStyle w:val="8"/>
              <w:rPr>
                <w:b w:val="0"/>
                <w:bCs w:val="0"/>
                <w:u w:val="none"/>
              </w:rPr>
            </w:pPr>
            <w:r>
              <w:rPr>
                <w:rFonts w:hint="eastAsia"/>
                <w:b w:val="0"/>
                <w:bCs w:val="0"/>
                <w:u w:val="none"/>
              </w:rPr>
              <w:t>分类</w:t>
            </w:r>
          </w:p>
        </w:tc>
        <w:tc>
          <w:tcPr>
            <w:tcW w:w="8122" w:type="dxa"/>
            <w:noWrap w:val="0"/>
            <w:vAlign w:val="center"/>
          </w:tcPr>
          <w:p>
            <w:pPr>
              <w:pStyle w:val="8"/>
              <w:rPr>
                <w:b w:val="0"/>
                <w:bCs w:val="0"/>
                <w:u w:val="none"/>
              </w:rPr>
            </w:pPr>
            <w:r>
              <w:rPr>
                <w:rFonts w:hint="eastAsia"/>
                <w:b w:val="0"/>
                <w:bCs w:val="0"/>
                <w:u w:val="none"/>
              </w:rPr>
              <w:t>风貌指引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53" w:hRule="atLeast"/>
          <w:tblHeader/>
          <w:jc w:val="center"/>
        </w:trPr>
        <w:tc>
          <w:tcPr>
            <w:tcW w:w="1318" w:type="dxa"/>
            <w:noWrap w:val="0"/>
            <w:vAlign w:val="center"/>
          </w:tcPr>
          <w:p>
            <w:pPr>
              <w:pStyle w:val="8"/>
              <w:rPr>
                <w:b w:val="0"/>
                <w:bCs w:val="0"/>
                <w:u w:val="none"/>
              </w:rPr>
            </w:pPr>
            <w:r>
              <w:rPr>
                <w:rFonts w:hint="eastAsia"/>
                <w:b w:val="0"/>
                <w:bCs w:val="0"/>
                <w:u w:val="none"/>
              </w:rPr>
              <w:t>山海相拥</w:t>
            </w:r>
          </w:p>
        </w:tc>
        <w:tc>
          <w:tcPr>
            <w:tcW w:w="8122" w:type="dxa"/>
            <w:noWrap w:val="0"/>
            <w:vAlign w:val="center"/>
          </w:tcPr>
          <w:p>
            <w:pPr>
              <w:pStyle w:val="61"/>
              <w:ind w:firstLine="480"/>
              <w:rPr>
                <w:b w:val="0"/>
                <w:bCs w:val="0"/>
                <w:u w:val="none"/>
              </w:rPr>
            </w:pPr>
            <w:r>
              <w:rPr>
                <w:rFonts w:hint="eastAsia"/>
                <w:b w:val="0"/>
                <w:bCs w:val="0"/>
                <w:u w:val="none"/>
              </w:rPr>
              <w:t>加强凤凰山、板樟山－石景山、黑白面将军山、大小横琴山、黄杨山、大平山－连湾山、大霖山、拦浪山－观音山等主要山体与海之间景观通廊联系。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53" w:hRule="atLeast"/>
          <w:tblHeader/>
          <w:jc w:val="center"/>
        </w:trPr>
        <w:tc>
          <w:tcPr>
            <w:tcW w:w="1318" w:type="dxa"/>
            <w:noWrap w:val="0"/>
            <w:vAlign w:val="center"/>
          </w:tcPr>
          <w:p>
            <w:pPr>
              <w:pStyle w:val="8"/>
              <w:rPr>
                <w:b w:val="0"/>
                <w:bCs w:val="0"/>
                <w:u w:val="none"/>
              </w:rPr>
            </w:pPr>
            <w:r>
              <w:rPr>
                <w:rFonts w:hint="eastAsia"/>
                <w:b w:val="0"/>
                <w:bCs w:val="0"/>
                <w:u w:val="none"/>
              </w:rPr>
              <w:t>陆岛相望</w:t>
            </w:r>
          </w:p>
        </w:tc>
        <w:tc>
          <w:tcPr>
            <w:tcW w:w="8122" w:type="dxa"/>
            <w:noWrap w:val="0"/>
            <w:vAlign w:val="center"/>
          </w:tcPr>
          <w:p>
            <w:pPr>
              <w:pStyle w:val="61"/>
              <w:ind w:firstLine="480"/>
              <w:rPr>
                <w:b w:val="0"/>
                <w:bCs w:val="0"/>
                <w:u w:val="none"/>
              </w:rPr>
            </w:pPr>
            <w:r>
              <w:rPr>
                <w:rFonts w:hint="eastAsia"/>
                <w:b w:val="0"/>
                <w:bCs w:val="0"/>
                <w:u w:val="none"/>
              </w:rPr>
              <w:t>提升淇澳岛、横山洲岛、野狸岛、荷包岛等近海岛屿自然生态环境，严格控制岛上建筑高度和体量，避免</w:t>
            </w:r>
            <w:r>
              <w:rPr>
                <w:b w:val="0"/>
                <w:bCs w:val="0"/>
                <w:u w:val="none"/>
              </w:rPr>
              <w:t>建筑遮山挡海</w:t>
            </w:r>
            <w:r>
              <w:rPr>
                <w:rFonts w:hint="eastAsia"/>
                <w:b w:val="0"/>
                <w:bCs w:val="0"/>
                <w:u w:val="none"/>
              </w:rPr>
              <w:t>，保证近岸海岛与城市之间的景观通廊联系。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622" w:hRule="atLeast"/>
          <w:tblHeader/>
          <w:jc w:val="center"/>
        </w:trPr>
        <w:tc>
          <w:tcPr>
            <w:tcW w:w="1318" w:type="dxa"/>
            <w:noWrap w:val="0"/>
            <w:vAlign w:val="center"/>
          </w:tcPr>
          <w:p>
            <w:pPr>
              <w:pStyle w:val="8"/>
              <w:rPr>
                <w:b w:val="0"/>
                <w:bCs w:val="0"/>
                <w:u w:val="none"/>
              </w:rPr>
            </w:pPr>
            <w:r>
              <w:rPr>
                <w:rFonts w:hint="eastAsia"/>
                <w:b w:val="0"/>
                <w:bCs w:val="0"/>
                <w:u w:val="none"/>
              </w:rPr>
              <w:t>城田相依</w:t>
            </w:r>
          </w:p>
        </w:tc>
        <w:tc>
          <w:tcPr>
            <w:tcW w:w="8122" w:type="dxa"/>
            <w:noWrap w:val="0"/>
            <w:vAlign w:val="center"/>
          </w:tcPr>
          <w:p>
            <w:pPr>
              <w:pStyle w:val="61"/>
              <w:ind w:firstLine="480"/>
              <w:rPr>
                <w:b w:val="0"/>
                <w:bCs w:val="0"/>
                <w:u w:val="none"/>
              </w:rPr>
            </w:pPr>
            <w:r>
              <w:rPr>
                <w:rFonts w:hint="eastAsia"/>
                <w:b w:val="0"/>
                <w:bCs w:val="0"/>
                <w:u w:val="none"/>
              </w:rPr>
              <w:t>秉持城在景中的建设理念，保护斗门莲洲、平沙南、乾务南、小林北等区域的田园耕地、桑基鱼塘、河网水系等整体景观格局。</w:t>
            </w:r>
          </w:p>
        </w:tc>
      </w:tr>
    </w:tbl>
    <w:p>
      <w:pPr>
        <w:widowControl/>
        <w:ind w:firstLine="562"/>
        <w:jc w:val="center"/>
        <w:rPr>
          <w:rFonts w:hint="eastAsia" w:ascii="仿宋_GB2312" w:hAnsi="仿宋" w:cs="Times New Roman"/>
          <w:b w:val="0"/>
          <w:bCs w:val="0"/>
          <w:sz w:val="28"/>
          <w:szCs w:val="24"/>
          <w:u w:val="none"/>
        </w:r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8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5" w:hRule="atLeast"/>
          <w:jc w:val="center"/>
        </w:trPr>
        <w:tc>
          <w:tcPr>
            <w:tcW w:w="9286" w:type="dxa"/>
            <w:gridSpan w:val="2"/>
            <w:shd w:val="clear" w:color="auto" w:fill="D9D9D9"/>
            <w:noWrap w:val="0"/>
            <w:vAlign w:val="center"/>
          </w:tcPr>
          <w:p>
            <w:pPr>
              <w:spacing w:before="46" w:after="46"/>
              <w:ind w:firstLine="0" w:firstLineChars="0"/>
              <w:jc w:val="center"/>
              <w:rPr>
                <w:rFonts w:hint="eastAsia"/>
                <w:b w:val="0"/>
                <w:bCs w:val="0"/>
                <w:u w:val="none"/>
              </w:rPr>
            </w:pPr>
            <w:r>
              <w:rPr>
                <w:rFonts w:eastAsia="黑体" w:cs="Times New Roman"/>
                <w:b w:val="0"/>
                <w:bCs w:val="0"/>
                <w:kern w:val="0"/>
                <w:u w:val="none"/>
              </w:rPr>
              <w:t>专栏9-3：</w:t>
            </w:r>
            <w:r>
              <w:rPr>
                <w:rFonts w:hint="eastAsia" w:eastAsia="黑体" w:cs="Times New Roman"/>
                <w:b w:val="0"/>
                <w:bCs w:val="0"/>
                <w:kern w:val="0"/>
                <w:u w:val="none"/>
              </w:rPr>
              <w:t>分区景观风貌指引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5" w:hRule="atLeast"/>
          <w:jc w:val="center"/>
        </w:trPr>
        <w:tc>
          <w:tcPr>
            <w:tcW w:w="1282" w:type="dxa"/>
            <w:noWrap w:val="0"/>
            <w:vAlign w:val="center"/>
          </w:tcPr>
          <w:p>
            <w:pPr>
              <w:pStyle w:val="8"/>
              <w:rPr>
                <w:b w:val="0"/>
                <w:bCs w:val="0"/>
                <w:u w:val="none"/>
              </w:rPr>
            </w:pPr>
            <w:r>
              <w:rPr>
                <w:rFonts w:hint="eastAsia"/>
                <w:b w:val="0"/>
                <w:bCs w:val="0"/>
                <w:u w:val="none"/>
              </w:rPr>
              <w:t>分区</w:t>
            </w:r>
          </w:p>
        </w:tc>
        <w:tc>
          <w:tcPr>
            <w:tcW w:w="8004" w:type="dxa"/>
            <w:noWrap w:val="0"/>
            <w:vAlign w:val="center"/>
          </w:tcPr>
          <w:p>
            <w:pPr>
              <w:pStyle w:val="8"/>
              <w:rPr>
                <w:b w:val="0"/>
                <w:bCs w:val="0"/>
                <w:u w:val="none"/>
              </w:rPr>
            </w:pPr>
            <w:r>
              <w:rPr>
                <w:rFonts w:hint="eastAsia"/>
                <w:b w:val="0"/>
                <w:bCs w:val="0"/>
                <w:u w:val="none"/>
              </w:rPr>
              <w:t>风貌指引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88" w:hRule="atLeast"/>
          <w:jc w:val="center"/>
        </w:trPr>
        <w:tc>
          <w:tcPr>
            <w:tcW w:w="1282" w:type="dxa"/>
            <w:noWrap w:val="0"/>
            <w:vAlign w:val="center"/>
          </w:tcPr>
          <w:p>
            <w:pPr>
              <w:pStyle w:val="8"/>
              <w:rPr>
                <w:b w:val="0"/>
                <w:bCs w:val="0"/>
                <w:u w:val="none"/>
              </w:rPr>
            </w:pPr>
            <w:r>
              <w:rPr>
                <w:rFonts w:hint="eastAsia"/>
                <w:b w:val="0"/>
                <w:bCs w:val="0"/>
                <w:u w:val="none"/>
              </w:rPr>
              <w:t>滨海花园</w:t>
            </w:r>
          </w:p>
        </w:tc>
        <w:tc>
          <w:tcPr>
            <w:tcW w:w="8004" w:type="dxa"/>
            <w:noWrap w:val="0"/>
            <w:vAlign w:val="center"/>
          </w:tcPr>
          <w:p>
            <w:pPr>
              <w:pStyle w:val="61"/>
              <w:ind w:firstLine="480"/>
              <w:rPr>
                <w:b w:val="0"/>
                <w:bCs w:val="0"/>
                <w:u w:val="none"/>
              </w:rPr>
            </w:pPr>
            <w:r>
              <w:rPr>
                <w:rFonts w:hint="eastAsia"/>
                <w:b w:val="0"/>
                <w:bCs w:val="0"/>
                <w:u w:val="none"/>
              </w:rPr>
              <w:t>包括东部中心城区、未来科学城。进一步强化东部中心城区和未来科学城的城市活力，推动商业商务及休闲消费服务升级；提升情侣路、九洲大道、迎宾大道、城市公共空间城市景观，形成滨海花园景观风貌。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80" w:hRule="atLeast"/>
          <w:jc w:val="center"/>
        </w:trPr>
        <w:tc>
          <w:tcPr>
            <w:tcW w:w="1282" w:type="dxa"/>
            <w:noWrap w:val="0"/>
            <w:vAlign w:val="center"/>
          </w:tcPr>
          <w:p>
            <w:pPr>
              <w:pStyle w:val="8"/>
              <w:rPr>
                <w:b w:val="0"/>
                <w:bCs w:val="0"/>
                <w:u w:val="none"/>
              </w:rPr>
            </w:pPr>
            <w:r>
              <w:rPr>
                <w:rFonts w:hint="eastAsia"/>
                <w:b w:val="0"/>
                <w:bCs w:val="0"/>
                <w:u w:val="none"/>
              </w:rPr>
              <w:t>滨江田园</w:t>
            </w:r>
          </w:p>
        </w:tc>
        <w:tc>
          <w:tcPr>
            <w:tcW w:w="8004" w:type="dxa"/>
            <w:noWrap w:val="0"/>
            <w:vAlign w:val="center"/>
          </w:tcPr>
          <w:p>
            <w:pPr>
              <w:pStyle w:val="61"/>
              <w:ind w:firstLine="480"/>
              <w:rPr>
                <w:b w:val="0"/>
                <w:bCs w:val="0"/>
                <w:u w:val="none"/>
              </w:rPr>
            </w:pPr>
            <w:r>
              <w:rPr>
                <w:rFonts w:hint="eastAsia"/>
                <w:b w:val="0"/>
                <w:bCs w:val="0"/>
                <w:u w:val="none"/>
              </w:rPr>
              <w:t>进一步完善西部中心城区城市功能，提升城市活力，充分利用西部自然景观，营造体现滨江田园特色的珠海西部中心城区风貌。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96" w:hRule="atLeast"/>
          <w:jc w:val="center"/>
        </w:trPr>
        <w:tc>
          <w:tcPr>
            <w:tcW w:w="1282" w:type="dxa"/>
            <w:noWrap w:val="0"/>
            <w:vAlign w:val="center"/>
          </w:tcPr>
          <w:p>
            <w:pPr>
              <w:pStyle w:val="8"/>
              <w:rPr>
                <w:b w:val="0"/>
                <w:bCs w:val="0"/>
                <w:u w:val="none"/>
              </w:rPr>
            </w:pPr>
            <w:r>
              <w:rPr>
                <w:rFonts w:hint="eastAsia"/>
                <w:b w:val="0"/>
                <w:bCs w:val="0"/>
                <w:u w:val="none"/>
              </w:rPr>
              <w:t>产业新城</w:t>
            </w:r>
          </w:p>
        </w:tc>
        <w:tc>
          <w:tcPr>
            <w:tcW w:w="8004" w:type="dxa"/>
            <w:noWrap w:val="0"/>
            <w:vAlign w:val="center"/>
          </w:tcPr>
          <w:p>
            <w:pPr>
              <w:pStyle w:val="61"/>
              <w:ind w:firstLine="480"/>
              <w:rPr>
                <w:b w:val="0"/>
                <w:bCs w:val="0"/>
                <w:u w:val="none"/>
              </w:rPr>
            </w:pPr>
            <w:r>
              <w:rPr>
                <w:rFonts w:hint="eastAsia"/>
                <w:b w:val="0"/>
                <w:bCs w:val="0"/>
                <w:u w:val="none"/>
              </w:rPr>
              <w:t>包括三灶、高栏、平沙、富山等区域。进一步促进产业发展、完善产业配套，形成独具特色的产业新城意象。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55" w:hRule="atLeast"/>
          <w:jc w:val="center"/>
        </w:trPr>
        <w:tc>
          <w:tcPr>
            <w:tcW w:w="1282" w:type="dxa"/>
            <w:noWrap w:val="0"/>
            <w:vAlign w:val="center"/>
          </w:tcPr>
          <w:p>
            <w:pPr>
              <w:pStyle w:val="8"/>
              <w:rPr>
                <w:b w:val="0"/>
                <w:bCs w:val="0"/>
                <w:u w:val="none"/>
              </w:rPr>
            </w:pPr>
            <w:r>
              <w:rPr>
                <w:rFonts w:hint="eastAsia"/>
                <w:b w:val="0"/>
                <w:bCs w:val="0"/>
                <w:u w:val="none"/>
              </w:rPr>
              <w:t>南部海岛</w:t>
            </w:r>
          </w:p>
        </w:tc>
        <w:tc>
          <w:tcPr>
            <w:tcW w:w="8004" w:type="dxa"/>
            <w:noWrap w:val="0"/>
            <w:vAlign w:val="center"/>
          </w:tcPr>
          <w:p>
            <w:pPr>
              <w:pStyle w:val="61"/>
              <w:ind w:firstLine="480"/>
              <w:rPr>
                <w:b w:val="0"/>
                <w:bCs w:val="0"/>
                <w:u w:val="none"/>
              </w:rPr>
            </w:pPr>
            <w:r>
              <w:rPr>
                <w:rFonts w:hint="eastAsia"/>
                <w:b w:val="0"/>
                <w:bCs w:val="0"/>
                <w:u w:val="none"/>
              </w:rPr>
              <w:t>主要为万山海洋开发试验区。加强海岛生态环境保护，控制海岛开发强度，加强海岛建筑风貌管控，塑</w:t>
            </w:r>
            <w:r>
              <w:rPr>
                <w:b w:val="0"/>
                <w:bCs w:val="0"/>
                <w:u w:val="none"/>
              </w:rPr>
              <w:t>造</w:t>
            </w:r>
            <w:r>
              <w:rPr>
                <w:rFonts w:hint="eastAsia"/>
                <w:b w:val="0"/>
                <w:bCs w:val="0"/>
                <w:u w:val="none"/>
              </w:rPr>
              <w:t>海岛</w:t>
            </w:r>
            <w:r>
              <w:rPr>
                <w:b w:val="0"/>
                <w:bCs w:val="0"/>
                <w:u w:val="none"/>
              </w:rPr>
              <w:t>风情</w:t>
            </w:r>
            <w:r>
              <w:rPr>
                <w:rFonts w:hint="eastAsia"/>
                <w:b w:val="0"/>
                <w:bCs w:val="0"/>
                <w:u w:val="none"/>
              </w:rPr>
              <w:t>特征显著的海岛意象。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55" w:hRule="atLeast"/>
          <w:jc w:val="center"/>
        </w:trPr>
        <w:tc>
          <w:tcPr>
            <w:tcW w:w="1282" w:type="dxa"/>
            <w:noWrap w:val="0"/>
            <w:vAlign w:val="center"/>
          </w:tcPr>
          <w:p>
            <w:pPr>
              <w:pStyle w:val="8"/>
              <w:rPr>
                <w:b w:val="0"/>
                <w:bCs w:val="0"/>
                <w:u w:val="none"/>
              </w:rPr>
            </w:pPr>
            <w:r>
              <w:rPr>
                <w:rFonts w:hint="eastAsia"/>
                <w:b w:val="0"/>
                <w:bCs w:val="0"/>
                <w:u w:val="none"/>
              </w:rPr>
              <w:t>生态水乡</w:t>
            </w:r>
          </w:p>
        </w:tc>
        <w:tc>
          <w:tcPr>
            <w:tcW w:w="8004" w:type="dxa"/>
            <w:noWrap w:val="0"/>
            <w:vAlign w:val="center"/>
          </w:tcPr>
          <w:p>
            <w:pPr>
              <w:pStyle w:val="61"/>
              <w:ind w:firstLine="480"/>
              <w:rPr>
                <w:b w:val="0"/>
                <w:bCs w:val="0"/>
                <w:u w:val="none"/>
              </w:rPr>
            </w:pPr>
            <w:r>
              <w:rPr>
                <w:rFonts w:hint="eastAsia"/>
                <w:b w:val="0"/>
                <w:bCs w:val="0"/>
                <w:u w:val="none"/>
              </w:rPr>
              <w:t>包括斗门莲洲、平沙南、乾务南、小林北等区域。进一步优化提升田园水乡景观要素，塑造识别度高、地域特征显著的生态水乡意象。</w:t>
            </w:r>
          </w:p>
        </w:tc>
      </w:tr>
    </w:tbl>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hAnsi="仿宋" w:cs="Times New Roman"/>
          <w:b w:val="0"/>
          <w:bCs w:val="0"/>
          <w:sz w:val="32"/>
          <w:szCs w:val="32"/>
          <w:u w:val="none"/>
        </w:rPr>
      </w:pPr>
      <w:r>
        <w:rPr>
          <w:rFonts w:hint="eastAsia" w:ascii="仿宋_GB2312" w:hAnsi="仿宋" w:cs="宋体"/>
          <w:b w:val="0"/>
          <w:bCs w:val="0"/>
          <w:kern w:val="0"/>
          <w:sz w:val="32"/>
          <w:szCs w:val="32"/>
          <w:u w:val="none"/>
        </w:rPr>
        <w:t>以</w:t>
      </w:r>
      <w:r>
        <w:rPr>
          <w:rFonts w:ascii="仿宋_GB2312" w:hAnsi="仿宋" w:cs="宋体"/>
          <w:b w:val="0"/>
          <w:bCs w:val="0"/>
          <w:kern w:val="0"/>
          <w:sz w:val="32"/>
          <w:szCs w:val="32"/>
          <w:u w:val="none"/>
        </w:rPr>
        <w:t>城市设计</w:t>
      </w:r>
      <w:r>
        <w:rPr>
          <w:rFonts w:hint="eastAsia" w:ascii="仿宋_GB2312" w:hAnsi="仿宋" w:cs="宋体"/>
          <w:b w:val="0"/>
          <w:bCs w:val="0"/>
          <w:kern w:val="0"/>
          <w:sz w:val="32"/>
          <w:szCs w:val="32"/>
          <w:u w:val="none"/>
        </w:rPr>
        <w:t>为引领，加</w:t>
      </w:r>
      <w:r>
        <w:rPr>
          <w:rFonts w:ascii="仿宋_GB2312" w:hAnsi="仿宋" w:cs="宋体"/>
          <w:b w:val="0"/>
          <w:bCs w:val="0"/>
          <w:kern w:val="0"/>
          <w:sz w:val="32"/>
          <w:szCs w:val="32"/>
          <w:u w:val="none"/>
        </w:rPr>
        <w:t>强对</w:t>
      </w:r>
      <w:r>
        <w:rPr>
          <w:rFonts w:hint="eastAsia" w:ascii="仿宋_GB2312" w:hAnsi="仿宋" w:cs="宋体"/>
          <w:b w:val="0"/>
          <w:bCs w:val="0"/>
          <w:kern w:val="0"/>
          <w:sz w:val="32"/>
          <w:szCs w:val="32"/>
          <w:u w:val="none"/>
        </w:rPr>
        <w:t>重要功</w:t>
      </w:r>
      <w:r>
        <w:rPr>
          <w:rFonts w:ascii="仿宋_GB2312" w:hAnsi="仿宋" w:cs="宋体"/>
          <w:b w:val="0"/>
          <w:bCs w:val="0"/>
          <w:kern w:val="0"/>
          <w:sz w:val="32"/>
          <w:szCs w:val="32"/>
          <w:u w:val="none"/>
        </w:rPr>
        <w:t>能</w:t>
      </w:r>
      <w:r>
        <w:rPr>
          <w:rFonts w:hint="eastAsia" w:ascii="仿宋_GB2312" w:hAnsi="仿宋" w:cs="宋体"/>
          <w:b w:val="0"/>
          <w:bCs w:val="0"/>
          <w:kern w:val="0"/>
          <w:sz w:val="32"/>
          <w:szCs w:val="32"/>
          <w:u w:val="none"/>
        </w:rPr>
        <w:t>中</w:t>
      </w:r>
      <w:r>
        <w:rPr>
          <w:rFonts w:ascii="仿宋_GB2312" w:hAnsi="仿宋" w:cs="宋体"/>
          <w:b w:val="0"/>
          <w:bCs w:val="0"/>
          <w:kern w:val="0"/>
          <w:sz w:val="32"/>
          <w:szCs w:val="32"/>
          <w:u w:val="none"/>
        </w:rPr>
        <w:t>心节点地区</w:t>
      </w:r>
      <w:r>
        <w:rPr>
          <w:rFonts w:hint="eastAsia" w:ascii="仿宋_GB2312" w:hAnsi="仿宋" w:cs="宋体"/>
          <w:b w:val="0"/>
          <w:bCs w:val="0"/>
          <w:kern w:val="0"/>
          <w:sz w:val="32"/>
          <w:szCs w:val="32"/>
          <w:u w:val="none"/>
        </w:rPr>
        <w:t>、交</w:t>
      </w:r>
      <w:r>
        <w:rPr>
          <w:rFonts w:ascii="仿宋_GB2312" w:hAnsi="仿宋" w:cs="宋体"/>
          <w:b w:val="0"/>
          <w:bCs w:val="0"/>
          <w:kern w:val="0"/>
          <w:sz w:val="32"/>
          <w:szCs w:val="32"/>
          <w:u w:val="none"/>
        </w:rPr>
        <w:t>通门户地区</w:t>
      </w:r>
      <w:r>
        <w:rPr>
          <w:rFonts w:hint="eastAsia" w:ascii="仿宋_GB2312" w:hAnsi="仿宋" w:cs="宋体"/>
          <w:b w:val="0"/>
          <w:bCs w:val="0"/>
          <w:kern w:val="0"/>
          <w:sz w:val="32"/>
          <w:szCs w:val="32"/>
          <w:u w:val="none"/>
        </w:rPr>
        <w:t>、重要空间</w:t>
      </w:r>
      <w:r>
        <w:rPr>
          <w:rFonts w:ascii="仿宋_GB2312" w:hAnsi="仿宋" w:cs="宋体"/>
          <w:b w:val="0"/>
          <w:bCs w:val="0"/>
          <w:kern w:val="0"/>
          <w:sz w:val="32"/>
          <w:szCs w:val="32"/>
          <w:u w:val="none"/>
        </w:rPr>
        <w:t>轴</w:t>
      </w:r>
      <w:r>
        <w:rPr>
          <w:rFonts w:hint="eastAsia" w:ascii="仿宋_GB2312" w:hAnsi="仿宋" w:cs="宋体"/>
          <w:b w:val="0"/>
          <w:bCs w:val="0"/>
          <w:kern w:val="0"/>
          <w:sz w:val="32"/>
          <w:szCs w:val="32"/>
          <w:u w:val="none"/>
        </w:rPr>
        <w:t>线、环</w:t>
      </w:r>
      <w:r>
        <w:rPr>
          <w:rFonts w:ascii="仿宋_GB2312" w:hAnsi="仿宋" w:cs="宋体"/>
          <w:b w:val="0"/>
          <w:bCs w:val="0"/>
          <w:kern w:val="0"/>
          <w:sz w:val="32"/>
          <w:szCs w:val="32"/>
          <w:u w:val="none"/>
        </w:rPr>
        <w:t>山</w:t>
      </w:r>
      <w:r>
        <w:rPr>
          <w:rFonts w:hint="eastAsia" w:ascii="仿宋_GB2312" w:hAnsi="仿宋" w:cs="宋体"/>
          <w:b w:val="0"/>
          <w:bCs w:val="0"/>
          <w:kern w:val="0"/>
          <w:sz w:val="32"/>
          <w:szCs w:val="32"/>
          <w:u w:val="none"/>
        </w:rPr>
        <w:t>地区、</w:t>
      </w:r>
      <w:r>
        <w:rPr>
          <w:rFonts w:ascii="仿宋_GB2312" w:hAnsi="仿宋" w:cs="宋体"/>
          <w:b w:val="0"/>
          <w:bCs w:val="0"/>
          <w:kern w:val="0"/>
          <w:sz w:val="32"/>
          <w:szCs w:val="32"/>
          <w:u w:val="none"/>
        </w:rPr>
        <w:t>滨水地区的风貌管控</w:t>
      </w:r>
      <w:r>
        <w:rPr>
          <w:rFonts w:hint="eastAsia" w:ascii="仿宋_GB2312" w:hAnsi="仿宋" w:cs="宋体"/>
          <w:b w:val="0"/>
          <w:bCs w:val="0"/>
          <w:kern w:val="0"/>
          <w:sz w:val="32"/>
          <w:szCs w:val="32"/>
          <w:u w:val="none"/>
        </w:rPr>
        <w:t>，对其建筑群布局、建筑</w:t>
      </w:r>
      <w:r>
        <w:rPr>
          <w:rFonts w:ascii="仿宋_GB2312" w:hAnsi="仿宋" w:cs="宋体"/>
          <w:b w:val="0"/>
          <w:bCs w:val="0"/>
          <w:kern w:val="0"/>
          <w:sz w:val="32"/>
          <w:szCs w:val="32"/>
          <w:u w:val="none"/>
        </w:rPr>
        <w:t>设计</w:t>
      </w:r>
      <w:r>
        <w:rPr>
          <w:rFonts w:hint="eastAsia" w:ascii="仿宋_GB2312" w:hAnsi="仿宋" w:cs="宋体"/>
          <w:b w:val="0"/>
          <w:bCs w:val="0"/>
          <w:kern w:val="0"/>
          <w:sz w:val="32"/>
          <w:szCs w:val="32"/>
          <w:u w:val="none"/>
        </w:rPr>
        <w:t>、城</w:t>
      </w:r>
      <w:r>
        <w:rPr>
          <w:rFonts w:ascii="仿宋_GB2312" w:hAnsi="仿宋" w:cs="宋体"/>
          <w:b w:val="0"/>
          <w:bCs w:val="0"/>
          <w:kern w:val="0"/>
          <w:sz w:val="32"/>
          <w:szCs w:val="32"/>
          <w:u w:val="none"/>
        </w:rPr>
        <w:t>市夜景等</w:t>
      </w:r>
      <w:r>
        <w:rPr>
          <w:rFonts w:hint="eastAsia" w:ascii="仿宋_GB2312" w:hAnsi="仿宋" w:cs="宋体"/>
          <w:b w:val="0"/>
          <w:bCs w:val="0"/>
          <w:kern w:val="0"/>
          <w:sz w:val="32"/>
          <w:szCs w:val="32"/>
          <w:u w:val="none"/>
        </w:rPr>
        <w:t>进</w:t>
      </w:r>
      <w:r>
        <w:rPr>
          <w:rFonts w:ascii="仿宋_GB2312" w:hAnsi="仿宋" w:cs="宋体"/>
          <w:b w:val="0"/>
          <w:bCs w:val="0"/>
          <w:kern w:val="0"/>
          <w:sz w:val="32"/>
          <w:szCs w:val="32"/>
          <w:u w:val="none"/>
        </w:rPr>
        <w:t>行精细化设计</w:t>
      </w:r>
      <w:r>
        <w:rPr>
          <w:rFonts w:hint="eastAsia" w:ascii="仿宋_GB2312" w:hAnsi="仿宋" w:cs="宋体"/>
          <w:b w:val="0"/>
          <w:bCs w:val="0"/>
          <w:kern w:val="0"/>
          <w:sz w:val="32"/>
          <w:szCs w:val="32"/>
          <w:u w:val="none"/>
        </w:rPr>
        <w:t>，充分利用建筑屋顶、建筑立面、公共空间，打</w:t>
      </w:r>
      <w:r>
        <w:rPr>
          <w:rFonts w:ascii="仿宋_GB2312" w:hAnsi="仿宋" w:cs="宋体"/>
          <w:b w:val="0"/>
          <w:bCs w:val="0"/>
          <w:kern w:val="0"/>
          <w:sz w:val="32"/>
          <w:szCs w:val="32"/>
          <w:u w:val="none"/>
        </w:rPr>
        <w:t>造</w:t>
      </w:r>
      <w:r>
        <w:rPr>
          <w:rFonts w:hint="eastAsia" w:ascii="仿宋_GB2312" w:hAnsi="仿宋" w:cs="宋体"/>
          <w:b w:val="0"/>
          <w:bCs w:val="0"/>
          <w:kern w:val="0"/>
          <w:sz w:val="32"/>
          <w:szCs w:val="32"/>
          <w:u w:val="none"/>
        </w:rPr>
        <w:t>多</w:t>
      </w:r>
      <w:r>
        <w:rPr>
          <w:rFonts w:ascii="仿宋_GB2312" w:hAnsi="仿宋" w:cs="宋体"/>
          <w:b w:val="0"/>
          <w:bCs w:val="0"/>
          <w:kern w:val="0"/>
          <w:sz w:val="32"/>
          <w:szCs w:val="32"/>
          <w:u w:val="none"/>
        </w:rPr>
        <w:t>元</w:t>
      </w:r>
      <w:r>
        <w:rPr>
          <w:rFonts w:hint="eastAsia" w:ascii="仿宋_GB2312" w:hAnsi="仿宋" w:cs="宋体"/>
          <w:b w:val="0"/>
          <w:bCs w:val="0"/>
          <w:kern w:val="0"/>
          <w:sz w:val="32"/>
          <w:szCs w:val="32"/>
          <w:u w:val="none"/>
        </w:rPr>
        <w:t>丰</w:t>
      </w:r>
      <w:r>
        <w:rPr>
          <w:rFonts w:ascii="仿宋_GB2312" w:hAnsi="仿宋" w:cs="宋体"/>
          <w:b w:val="0"/>
          <w:bCs w:val="0"/>
          <w:kern w:val="0"/>
          <w:sz w:val="32"/>
          <w:szCs w:val="32"/>
          <w:u w:val="none"/>
        </w:rPr>
        <w:t>富</w:t>
      </w:r>
      <w:r>
        <w:rPr>
          <w:rFonts w:hint="eastAsia" w:ascii="仿宋_GB2312" w:hAnsi="仿宋" w:cs="宋体"/>
          <w:b w:val="0"/>
          <w:bCs w:val="0"/>
          <w:kern w:val="0"/>
          <w:sz w:val="32"/>
          <w:szCs w:val="32"/>
          <w:u w:val="none"/>
        </w:rPr>
        <w:t>、特</w:t>
      </w:r>
      <w:r>
        <w:rPr>
          <w:rFonts w:ascii="仿宋_GB2312" w:hAnsi="仿宋" w:cs="宋体"/>
          <w:b w:val="0"/>
          <w:bCs w:val="0"/>
          <w:kern w:val="0"/>
          <w:sz w:val="32"/>
          <w:szCs w:val="32"/>
          <w:u w:val="none"/>
        </w:rPr>
        <w:t>色</w:t>
      </w:r>
      <w:r>
        <w:rPr>
          <w:rFonts w:hint="eastAsia" w:ascii="仿宋_GB2312" w:hAnsi="仿宋" w:cs="宋体"/>
          <w:b w:val="0"/>
          <w:bCs w:val="0"/>
          <w:kern w:val="0"/>
          <w:sz w:val="32"/>
          <w:szCs w:val="32"/>
          <w:u w:val="none"/>
        </w:rPr>
        <w:t>显</w:t>
      </w:r>
      <w:r>
        <w:rPr>
          <w:rFonts w:ascii="仿宋_GB2312" w:hAnsi="仿宋" w:cs="宋体"/>
          <w:b w:val="0"/>
          <w:bCs w:val="0"/>
          <w:kern w:val="0"/>
          <w:sz w:val="32"/>
          <w:szCs w:val="32"/>
          <w:u w:val="none"/>
        </w:rPr>
        <w:t>著</w:t>
      </w:r>
      <w:r>
        <w:rPr>
          <w:rFonts w:hint="eastAsia" w:ascii="仿宋_GB2312" w:hAnsi="仿宋" w:cs="宋体"/>
          <w:b w:val="0"/>
          <w:bCs w:val="0"/>
          <w:kern w:val="0"/>
          <w:sz w:val="32"/>
          <w:szCs w:val="32"/>
          <w:u w:val="none"/>
        </w:rPr>
        <w:t>、彰显城市魅力的</w:t>
      </w:r>
      <w:r>
        <w:rPr>
          <w:rFonts w:ascii="仿宋_GB2312" w:hAnsi="仿宋" w:cs="宋体"/>
          <w:b w:val="0"/>
          <w:bCs w:val="0"/>
          <w:kern w:val="0"/>
          <w:sz w:val="32"/>
          <w:szCs w:val="32"/>
          <w:u w:val="none"/>
        </w:rPr>
        <w:t>景观</w:t>
      </w:r>
      <w:r>
        <w:rPr>
          <w:rFonts w:hint="eastAsia" w:ascii="仿宋_GB2312" w:hAnsi="仿宋" w:cs="宋体"/>
          <w:b w:val="0"/>
          <w:bCs w:val="0"/>
          <w:kern w:val="0"/>
          <w:sz w:val="32"/>
          <w:szCs w:val="32"/>
          <w:u w:val="none"/>
        </w:rPr>
        <w:t>空间，详见专栏</w:t>
      </w:r>
      <w:r>
        <w:rPr>
          <w:rFonts w:cs="宋体"/>
          <w:b w:val="0"/>
          <w:bCs w:val="0"/>
          <w:kern w:val="0"/>
          <w:sz w:val="32"/>
          <w:szCs w:val="32"/>
          <w:u w:val="none"/>
        </w:rPr>
        <w:t>9</w:t>
      </w:r>
      <w:r>
        <w:rPr>
          <w:rFonts w:ascii="仿宋_GB2312" w:hAnsi="仿宋" w:cs="宋体"/>
          <w:b w:val="0"/>
          <w:bCs w:val="0"/>
          <w:kern w:val="0"/>
          <w:sz w:val="32"/>
          <w:szCs w:val="32"/>
          <w:u w:val="none"/>
        </w:rPr>
        <w:t>-</w:t>
      </w:r>
      <w:r>
        <w:rPr>
          <w:rFonts w:cs="宋体"/>
          <w:b w:val="0"/>
          <w:bCs w:val="0"/>
          <w:kern w:val="0"/>
          <w:sz w:val="32"/>
          <w:szCs w:val="32"/>
          <w:u w:val="none"/>
        </w:rPr>
        <w:t>4</w:t>
      </w:r>
      <w:r>
        <w:rPr>
          <w:rFonts w:ascii="仿宋_GB2312" w:hAnsi="仿宋" w:cs="宋体"/>
          <w:b w:val="0"/>
          <w:bCs w:val="0"/>
          <w:kern w:val="0"/>
          <w:sz w:val="32"/>
          <w:szCs w:val="32"/>
          <w:u w:val="none"/>
        </w:rPr>
        <w:t>。</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8"/>
        <w:gridCol w:w="7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5" w:hRule="atLeast"/>
          <w:jc w:val="center"/>
        </w:trPr>
        <w:tc>
          <w:tcPr>
            <w:tcW w:w="9286" w:type="dxa"/>
            <w:gridSpan w:val="2"/>
            <w:shd w:val="clear" w:color="auto" w:fill="D9D9D9"/>
            <w:noWrap w:val="0"/>
            <w:vAlign w:val="center"/>
          </w:tcPr>
          <w:p>
            <w:pPr>
              <w:spacing w:before="46" w:after="46"/>
              <w:ind w:firstLine="0" w:firstLineChars="0"/>
              <w:jc w:val="center"/>
              <w:rPr>
                <w:rFonts w:hint="eastAsia"/>
                <w:b w:val="0"/>
                <w:bCs w:val="0"/>
                <w:u w:val="none"/>
              </w:rPr>
            </w:pPr>
            <w:r>
              <w:rPr>
                <w:rFonts w:eastAsia="黑体" w:cs="Times New Roman"/>
                <w:b w:val="0"/>
                <w:bCs w:val="0"/>
                <w:kern w:val="0"/>
                <w:u w:val="none"/>
              </w:rPr>
              <w:t>专栏9-4：</w:t>
            </w:r>
            <w:r>
              <w:rPr>
                <w:rFonts w:hint="eastAsia" w:eastAsia="黑体" w:cs="Times New Roman"/>
                <w:b w:val="0"/>
                <w:bCs w:val="0"/>
                <w:kern w:val="0"/>
                <w:u w:val="none"/>
              </w:rPr>
              <w:t>重点地区景观风貌指引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5" w:hRule="atLeast"/>
          <w:jc w:val="center"/>
        </w:trPr>
        <w:tc>
          <w:tcPr>
            <w:tcW w:w="2278" w:type="dxa"/>
            <w:noWrap w:val="0"/>
            <w:vAlign w:val="center"/>
          </w:tcPr>
          <w:p>
            <w:pPr>
              <w:pStyle w:val="8"/>
              <w:rPr>
                <w:b w:val="0"/>
                <w:bCs w:val="0"/>
                <w:u w:val="none"/>
              </w:rPr>
            </w:pPr>
            <w:r>
              <w:rPr>
                <w:rFonts w:hint="eastAsia"/>
                <w:b w:val="0"/>
                <w:bCs w:val="0"/>
                <w:u w:val="none"/>
              </w:rPr>
              <w:t>重点地区</w:t>
            </w:r>
          </w:p>
        </w:tc>
        <w:tc>
          <w:tcPr>
            <w:tcW w:w="7008" w:type="dxa"/>
            <w:noWrap w:val="0"/>
            <w:vAlign w:val="center"/>
          </w:tcPr>
          <w:p>
            <w:pPr>
              <w:pStyle w:val="8"/>
              <w:rPr>
                <w:b w:val="0"/>
                <w:bCs w:val="0"/>
                <w:u w:val="none"/>
              </w:rPr>
            </w:pPr>
            <w:r>
              <w:rPr>
                <w:rFonts w:hint="eastAsia"/>
                <w:b w:val="0"/>
                <w:bCs w:val="0"/>
                <w:u w:val="none"/>
              </w:rPr>
              <w:t>风貌指引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80" w:hRule="atLeast"/>
          <w:jc w:val="center"/>
        </w:trPr>
        <w:tc>
          <w:tcPr>
            <w:tcW w:w="2278" w:type="dxa"/>
            <w:noWrap w:val="0"/>
            <w:vAlign w:val="center"/>
          </w:tcPr>
          <w:p>
            <w:pPr>
              <w:pStyle w:val="8"/>
              <w:rPr>
                <w:b w:val="0"/>
                <w:bCs w:val="0"/>
                <w:u w:val="none"/>
              </w:rPr>
            </w:pPr>
            <w:r>
              <w:rPr>
                <w:rFonts w:hint="eastAsia"/>
                <w:b w:val="0"/>
                <w:bCs w:val="0"/>
                <w:u w:val="none"/>
              </w:rPr>
              <w:t>重要功能中心节点</w:t>
            </w:r>
          </w:p>
        </w:tc>
        <w:tc>
          <w:tcPr>
            <w:tcW w:w="7008" w:type="dxa"/>
            <w:noWrap w:val="0"/>
            <w:vAlign w:val="center"/>
          </w:tcPr>
          <w:p>
            <w:pPr>
              <w:pStyle w:val="61"/>
              <w:ind w:firstLine="480"/>
              <w:rPr>
                <w:b w:val="0"/>
                <w:bCs w:val="0"/>
                <w:u w:val="none"/>
              </w:rPr>
            </w:pPr>
            <w:r>
              <w:rPr>
                <w:rFonts w:hint="eastAsia"/>
                <w:b w:val="0"/>
                <w:bCs w:val="0"/>
                <w:u w:val="none"/>
              </w:rPr>
              <w:t>市级综合中心、市级专业化中心、片区中心、轨道枢纽站点周边地区宜打造特色地标和主要眺望点，控制重要视线廊道，注重提升公共空间品质，营造城市地标性空间景观。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49" w:hRule="atLeast"/>
          <w:jc w:val="center"/>
        </w:trPr>
        <w:tc>
          <w:tcPr>
            <w:tcW w:w="2278" w:type="dxa"/>
            <w:noWrap w:val="0"/>
            <w:vAlign w:val="center"/>
          </w:tcPr>
          <w:p>
            <w:pPr>
              <w:pStyle w:val="8"/>
              <w:rPr>
                <w:b w:val="0"/>
                <w:bCs w:val="0"/>
                <w:u w:val="none"/>
              </w:rPr>
            </w:pPr>
            <w:r>
              <w:rPr>
                <w:rFonts w:hint="eastAsia"/>
                <w:b w:val="0"/>
                <w:bCs w:val="0"/>
                <w:u w:val="none"/>
              </w:rPr>
              <w:t>交通门户地区</w:t>
            </w:r>
          </w:p>
        </w:tc>
        <w:tc>
          <w:tcPr>
            <w:tcW w:w="7008" w:type="dxa"/>
            <w:noWrap w:val="0"/>
            <w:vAlign w:val="center"/>
          </w:tcPr>
          <w:p>
            <w:pPr>
              <w:pStyle w:val="61"/>
              <w:ind w:firstLine="480"/>
              <w:rPr>
                <w:b w:val="0"/>
                <w:bCs w:val="0"/>
                <w:u w:val="none"/>
              </w:rPr>
            </w:pPr>
            <w:r>
              <w:rPr>
                <w:rFonts w:hint="eastAsia"/>
                <w:b w:val="0"/>
                <w:bCs w:val="0"/>
                <w:u w:val="none"/>
              </w:rPr>
              <w:t>珠海机场、珠海中心站（鹤洲）枢纽地区、拱北口岸、九洲港、香洲港、洪湾港、珠海北站等交通门户地区宜建设地标建筑，形成突显现代化国际化经济特区特色的城市门户空间形象。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40" w:hRule="atLeast"/>
          <w:jc w:val="center"/>
        </w:trPr>
        <w:tc>
          <w:tcPr>
            <w:tcW w:w="2278" w:type="dxa"/>
            <w:noWrap w:val="0"/>
            <w:vAlign w:val="center"/>
          </w:tcPr>
          <w:p>
            <w:pPr>
              <w:pStyle w:val="8"/>
              <w:rPr>
                <w:b w:val="0"/>
                <w:bCs w:val="0"/>
                <w:u w:val="none"/>
              </w:rPr>
            </w:pPr>
            <w:r>
              <w:rPr>
                <w:rFonts w:hint="eastAsia"/>
                <w:b w:val="0"/>
                <w:bCs w:val="0"/>
                <w:u w:val="none"/>
              </w:rPr>
              <w:t>重</w:t>
            </w:r>
            <w:r>
              <w:rPr>
                <w:b w:val="0"/>
                <w:bCs w:val="0"/>
                <w:u w:val="none"/>
              </w:rPr>
              <w:t>要轴线</w:t>
            </w:r>
          </w:p>
        </w:tc>
        <w:tc>
          <w:tcPr>
            <w:tcW w:w="7008" w:type="dxa"/>
            <w:noWrap w:val="0"/>
            <w:vAlign w:val="center"/>
          </w:tcPr>
          <w:p>
            <w:pPr>
              <w:pStyle w:val="61"/>
              <w:ind w:firstLine="480"/>
              <w:rPr>
                <w:b w:val="0"/>
                <w:bCs w:val="0"/>
                <w:u w:val="none"/>
              </w:rPr>
            </w:pPr>
            <w:r>
              <w:rPr>
                <w:rFonts w:hint="eastAsia"/>
                <w:b w:val="0"/>
                <w:bCs w:val="0"/>
                <w:u w:val="none"/>
              </w:rPr>
              <w:t>加</w:t>
            </w:r>
            <w:r>
              <w:rPr>
                <w:b w:val="0"/>
                <w:bCs w:val="0"/>
                <w:u w:val="none"/>
              </w:rPr>
              <w:t>强</w:t>
            </w:r>
            <w:r>
              <w:rPr>
                <w:rFonts w:hint="eastAsia"/>
                <w:b w:val="0"/>
                <w:bCs w:val="0"/>
                <w:u w:val="none"/>
              </w:rPr>
              <w:t>情</w:t>
            </w:r>
            <w:r>
              <w:rPr>
                <w:b w:val="0"/>
                <w:bCs w:val="0"/>
                <w:u w:val="none"/>
              </w:rPr>
              <w:t>侣路</w:t>
            </w:r>
            <w:r>
              <w:rPr>
                <w:rFonts w:hint="eastAsia"/>
                <w:b w:val="0"/>
                <w:bCs w:val="0"/>
                <w:u w:val="none"/>
              </w:rPr>
              <w:t>、迎</w:t>
            </w:r>
            <w:r>
              <w:rPr>
                <w:b w:val="0"/>
                <w:bCs w:val="0"/>
                <w:u w:val="none"/>
              </w:rPr>
              <w:t>宾大道</w:t>
            </w:r>
            <w:r>
              <w:rPr>
                <w:rFonts w:hint="eastAsia"/>
                <w:b w:val="0"/>
                <w:bCs w:val="0"/>
                <w:u w:val="none"/>
              </w:rPr>
              <w:t>、九</w:t>
            </w:r>
            <w:r>
              <w:rPr>
                <w:b w:val="0"/>
                <w:bCs w:val="0"/>
                <w:u w:val="none"/>
              </w:rPr>
              <w:t>洲大道</w:t>
            </w:r>
            <w:r>
              <w:rPr>
                <w:rFonts w:hint="eastAsia"/>
                <w:b w:val="0"/>
                <w:bCs w:val="0"/>
                <w:u w:val="none"/>
              </w:rPr>
              <w:t>、珠</w:t>
            </w:r>
            <w:r>
              <w:rPr>
                <w:b w:val="0"/>
                <w:bCs w:val="0"/>
                <w:u w:val="none"/>
              </w:rPr>
              <w:t>海大道</w:t>
            </w:r>
            <w:r>
              <w:rPr>
                <w:rFonts w:hint="eastAsia"/>
                <w:b w:val="0"/>
                <w:bCs w:val="0"/>
                <w:u w:val="none"/>
              </w:rPr>
              <w:t>、人民路、明珠路</w:t>
            </w:r>
            <w:r>
              <w:rPr>
                <w:b w:val="0"/>
                <w:bCs w:val="0"/>
                <w:u w:val="none"/>
              </w:rPr>
              <w:t>等城市轴线沿线地区的风貌管</w:t>
            </w:r>
            <w:r>
              <w:rPr>
                <w:rFonts w:hint="eastAsia"/>
                <w:b w:val="0"/>
                <w:bCs w:val="0"/>
                <w:u w:val="none"/>
              </w:rPr>
              <w:t>控。重点</w:t>
            </w:r>
            <w:r>
              <w:rPr>
                <w:b w:val="0"/>
                <w:bCs w:val="0"/>
                <w:u w:val="none"/>
              </w:rPr>
              <w:t>提升两侧建筑立面</w:t>
            </w:r>
            <w:r>
              <w:rPr>
                <w:rFonts w:hint="eastAsia"/>
                <w:b w:val="0"/>
                <w:bCs w:val="0"/>
                <w:u w:val="none"/>
              </w:rPr>
              <w:t>、建筑</w:t>
            </w:r>
            <w:r>
              <w:rPr>
                <w:b w:val="0"/>
                <w:bCs w:val="0"/>
                <w:u w:val="none"/>
              </w:rPr>
              <w:t>屋顶</w:t>
            </w:r>
            <w:r>
              <w:rPr>
                <w:rFonts w:hint="eastAsia"/>
                <w:b w:val="0"/>
                <w:bCs w:val="0"/>
                <w:u w:val="none"/>
              </w:rPr>
              <w:t>、植</w:t>
            </w:r>
            <w:r>
              <w:rPr>
                <w:b w:val="0"/>
                <w:bCs w:val="0"/>
                <w:u w:val="none"/>
              </w:rPr>
              <w:t>物绿化</w:t>
            </w:r>
            <w:r>
              <w:rPr>
                <w:rFonts w:hint="eastAsia"/>
                <w:b w:val="0"/>
                <w:bCs w:val="0"/>
                <w:u w:val="none"/>
              </w:rPr>
              <w:t>、特征</w:t>
            </w:r>
            <w:r>
              <w:rPr>
                <w:b w:val="0"/>
                <w:bCs w:val="0"/>
                <w:u w:val="none"/>
              </w:rPr>
              <w:t>场所等要素的景观品质</w:t>
            </w:r>
            <w:r>
              <w:rPr>
                <w:rFonts w:hint="eastAsia"/>
                <w:b w:val="0"/>
                <w:bCs w:val="0"/>
                <w:u w:val="none"/>
              </w:rPr>
              <w:t>，结</w:t>
            </w:r>
            <w:r>
              <w:rPr>
                <w:b w:val="0"/>
                <w:bCs w:val="0"/>
                <w:u w:val="none"/>
              </w:rPr>
              <w:t>合轴线的特征属性</w:t>
            </w:r>
            <w:r>
              <w:rPr>
                <w:rFonts w:hint="eastAsia"/>
                <w:b w:val="0"/>
                <w:bCs w:val="0"/>
                <w:u w:val="none"/>
              </w:rPr>
              <w:t>，营</w:t>
            </w:r>
            <w:r>
              <w:rPr>
                <w:b w:val="0"/>
                <w:bCs w:val="0"/>
                <w:u w:val="none"/>
              </w:rPr>
              <w:t>造特色彰显</w:t>
            </w:r>
            <w:r>
              <w:rPr>
                <w:rFonts w:hint="eastAsia"/>
                <w:b w:val="0"/>
                <w:bCs w:val="0"/>
                <w:u w:val="none"/>
              </w:rPr>
              <w:t>、魅</w:t>
            </w:r>
            <w:r>
              <w:rPr>
                <w:b w:val="0"/>
                <w:bCs w:val="0"/>
                <w:u w:val="none"/>
              </w:rPr>
              <w:t>力</w:t>
            </w:r>
            <w:r>
              <w:rPr>
                <w:rFonts w:hint="eastAsia"/>
                <w:b w:val="0"/>
                <w:bCs w:val="0"/>
                <w:u w:val="none"/>
              </w:rPr>
              <w:t>独</w:t>
            </w:r>
            <w:r>
              <w:rPr>
                <w:b w:val="0"/>
                <w:bCs w:val="0"/>
                <w:u w:val="none"/>
              </w:rPr>
              <w:t>具的城市</w:t>
            </w:r>
            <w:r>
              <w:rPr>
                <w:rFonts w:hint="eastAsia"/>
                <w:b w:val="0"/>
                <w:bCs w:val="0"/>
                <w:u w:val="none"/>
              </w:rPr>
              <w:t>轴</w:t>
            </w:r>
            <w:r>
              <w:rPr>
                <w:b w:val="0"/>
                <w:bCs w:val="0"/>
                <w:u w:val="none"/>
              </w:rPr>
              <w:t>线风貌</w:t>
            </w:r>
            <w:r>
              <w:rPr>
                <w:rFonts w:hint="eastAsia"/>
                <w:b w:val="0"/>
                <w:bCs w:val="0"/>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40" w:hRule="atLeast"/>
          <w:jc w:val="center"/>
        </w:trPr>
        <w:tc>
          <w:tcPr>
            <w:tcW w:w="2278" w:type="dxa"/>
            <w:noWrap w:val="0"/>
            <w:vAlign w:val="center"/>
          </w:tcPr>
          <w:p>
            <w:pPr>
              <w:pStyle w:val="8"/>
              <w:rPr>
                <w:b w:val="0"/>
                <w:bCs w:val="0"/>
                <w:u w:val="none"/>
              </w:rPr>
            </w:pPr>
            <w:r>
              <w:rPr>
                <w:rFonts w:hint="eastAsia"/>
                <w:b w:val="0"/>
                <w:bCs w:val="0"/>
                <w:u w:val="none"/>
              </w:rPr>
              <w:t>环山地区</w:t>
            </w:r>
          </w:p>
        </w:tc>
        <w:tc>
          <w:tcPr>
            <w:tcW w:w="7008" w:type="dxa"/>
            <w:noWrap w:val="0"/>
            <w:vAlign w:val="center"/>
          </w:tcPr>
          <w:p>
            <w:pPr>
              <w:pStyle w:val="61"/>
              <w:ind w:firstLine="480"/>
              <w:rPr>
                <w:b w:val="0"/>
                <w:bCs w:val="0"/>
                <w:u w:val="none"/>
              </w:rPr>
            </w:pPr>
            <w:r>
              <w:rPr>
                <w:rFonts w:hint="eastAsia"/>
                <w:b w:val="0"/>
                <w:bCs w:val="0"/>
                <w:u w:val="none"/>
              </w:rPr>
              <w:t>沿山建筑布局应以点式为主，控制连续面宽，预留城市与山体之间的视线通廊；重要山体山环地区建筑高度原则上应保证不遮挡山体顶部1／3的山脊线。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40" w:hRule="atLeast"/>
          <w:jc w:val="center"/>
        </w:trPr>
        <w:tc>
          <w:tcPr>
            <w:tcW w:w="2278" w:type="dxa"/>
            <w:noWrap w:val="0"/>
            <w:vAlign w:val="center"/>
          </w:tcPr>
          <w:p>
            <w:pPr>
              <w:pStyle w:val="8"/>
              <w:rPr>
                <w:b w:val="0"/>
                <w:bCs w:val="0"/>
                <w:u w:val="none"/>
              </w:rPr>
            </w:pPr>
            <w:r>
              <w:rPr>
                <w:rFonts w:hint="eastAsia"/>
                <w:b w:val="0"/>
                <w:bCs w:val="0"/>
                <w:u w:val="none"/>
              </w:rPr>
              <w:t>滨水地区</w:t>
            </w:r>
          </w:p>
        </w:tc>
        <w:tc>
          <w:tcPr>
            <w:tcW w:w="7008" w:type="dxa"/>
            <w:noWrap w:val="0"/>
            <w:vAlign w:val="center"/>
          </w:tcPr>
          <w:p>
            <w:pPr>
              <w:pStyle w:val="61"/>
              <w:ind w:firstLine="480"/>
              <w:rPr>
                <w:b w:val="0"/>
                <w:bCs w:val="0"/>
                <w:u w:val="none"/>
              </w:rPr>
            </w:pPr>
            <w:r>
              <w:rPr>
                <w:rFonts w:hint="eastAsia"/>
                <w:b w:val="0"/>
                <w:bCs w:val="0"/>
                <w:u w:val="none"/>
              </w:rPr>
              <w:t>情侣路一带九湾营造山海城和谐的滨海魅</w:t>
            </w:r>
            <w:r>
              <w:rPr>
                <w:b w:val="0"/>
                <w:bCs w:val="0"/>
                <w:u w:val="none"/>
              </w:rPr>
              <w:t>力</w:t>
            </w:r>
            <w:r>
              <w:rPr>
                <w:rFonts w:hint="eastAsia"/>
                <w:b w:val="0"/>
                <w:bCs w:val="0"/>
                <w:u w:val="none"/>
              </w:rPr>
              <w:t>城市景观。情侣路等重要滨海生活岸线应划定120米建设控制地带，前山河、马骝洲、黄杨河等重要滨河生活岸线应划定80米建设控制地带，保障重要生活岸线滨水空间连续性。控制滨水建筑连续面宽和建筑高度，保证滨水地区“城与水”之间良好的视线通廊关系。</w:t>
            </w:r>
          </w:p>
        </w:tc>
      </w:tr>
    </w:tbl>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21" w:name="_Toc9811"/>
      <w:r>
        <w:rPr>
          <w:rFonts w:hint="eastAsia"/>
          <w:b w:val="0"/>
          <w:bCs w:val="0"/>
          <w:sz w:val="32"/>
          <w:szCs w:val="32"/>
          <w:u w:val="none"/>
        </w:rPr>
        <w:t>建设具有</w:t>
      </w:r>
      <w:r>
        <w:rPr>
          <w:rFonts w:hint="eastAsia"/>
          <w:b w:val="0"/>
          <w:bCs w:val="0"/>
          <w:sz w:val="32"/>
          <w:szCs w:val="32"/>
          <w:u w:val="none"/>
          <w:lang w:val="en-US"/>
        </w:rPr>
        <w:t>吸引力</w:t>
      </w:r>
      <w:r>
        <w:rPr>
          <w:rFonts w:hint="eastAsia"/>
          <w:b w:val="0"/>
          <w:bCs w:val="0"/>
          <w:sz w:val="32"/>
          <w:szCs w:val="32"/>
          <w:u w:val="none"/>
        </w:rPr>
        <w:t>的公共空间</w:t>
      </w:r>
      <w:bookmarkEnd w:id="221"/>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宋体"/>
          <w:b w:val="0"/>
          <w:bCs w:val="0"/>
          <w:kern w:val="0"/>
          <w:sz w:val="32"/>
          <w:szCs w:val="32"/>
          <w:u w:val="none"/>
        </w:rPr>
      </w:pPr>
      <w:r>
        <w:rPr>
          <w:rFonts w:hint="eastAsia" w:ascii="仿宋_GB2312" w:hAnsi="仿宋" w:cs="宋体"/>
          <w:b w:val="0"/>
          <w:bCs w:val="0"/>
          <w:kern w:val="0"/>
          <w:sz w:val="32"/>
          <w:szCs w:val="32"/>
          <w:u w:val="none"/>
        </w:rPr>
        <w:t>持续提升街道空间、滨水空间、山体公园、社区公园、商业公共场所、交通节点公共场所等</w:t>
      </w:r>
      <w:r>
        <w:rPr>
          <w:rFonts w:hint="eastAsia"/>
          <w:b w:val="0"/>
          <w:bCs w:val="0"/>
          <w:sz w:val="32"/>
          <w:szCs w:val="32"/>
          <w:u w:val="none"/>
        </w:rPr>
        <w:t>各类</w:t>
      </w:r>
      <w:r>
        <w:rPr>
          <w:rFonts w:hint="eastAsia" w:ascii="仿宋_GB2312" w:hAnsi="仿宋" w:cs="宋体"/>
          <w:b w:val="0"/>
          <w:bCs w:val="0"/>
          <w:kern w:val="0"/>
          <w:sz w:val="32"/>
          <w:szCs w:val="32"/>
          <w:u w:val="none"/>
        </w:rPr>
        <w:t>公共开放空间吸引力。</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宋体"/>
          <w:b w:val="0"/>
          <w:bCs w:val="0"/>
          <w:kern w:val="0"/>
          <w:sz w:val="32"/>
          <w:szCs w:val="32"/>
          <w:u w:val="none"/>
        </w:rPr>
      </w:pPr>
      <w:r>
        <w:rPr>
          <w:rFonts w:hint="eastAsia" w:ascii="仿宋_GB2312" w:hAnsi="仿宋" w:cs="宋体"/>
          <w:b w:val="0"/>
          <w:bCs w:val="0"/>
          <w:kern w:val="0"/>
          <w:sz w:val="32"/>
          <w:szCs w:val="32"/>
          <w:u w:val="none"/>
        </w:rPr>
        <w:t>东部一带九湾情侣路打造成为世界级的特色滨水活力区。港珠澳大桥人工岛、拱北湾、拱北口岸、前山河、十字门、马骝洲水道等环澳门地区携手澳门营造代表珠澳国际都会区形象的城市门户。</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宋体"/>
          <w:b w:val="0"/>
          <w:bCs w:val="0"/>
          <w:kern w:val="0"/>
          <w:sz w:val="32"/>
          <w:szCs w:val="32"/>
          <w:u w:val="none"/>
        </w:rPr>
      </w:pPr>
      <w:r>
        <w:rPr>
          <w:rFonts w:hint="eastAsia" w:ascii="仿宋_GB2312" w:hAnsi="仿宋" w:cs="宋体"/>
          <w:b w:val="0"/>
          <w:bCs w:val="0"/>
          <w:kern w:val="0"/>
          <w:sz w:val="32"/>
          <w:szCs w:val="32"/>
          <w:u w:val="none"/>
        </w:rPr>
        <w:t>西城中心和金湾区示范基本城市组团（生态休闲宜居示范区）建设现代化、国际化、生态型的</w:t>
      </w:r>
      <w:r>
        <w:rPr>
          <w:rFonts w:hint="eastAsia"/>
          <w:b w:val="0"/>
          <w:bCs w:val="0"/>
          <w:sz w:val="32"/>
          <w:szCs w:val="32"/>
          <w:u w:val="none"/>
        </w:rPr>
        <w:t>未来</w:t>
      </w:r>
      <w:r>
        <w:rPr>
          <w:rFonts w:hint="eastAsia" w:ascii="仿宋_GB2312" w:hAnsi="仿宋" w:cs="宋体"/>
          <w:b w:val="0"/>
          <w:bCs w:val="0"/>
          <w:kern w:val="0"/>
          <w:sz w:val="32"/>
          <w:szCs w:val="32"/>
          <w:u w:val="none"/>
        </w:rPr>
        <w:t>城区。以高标准公共开放空间引领珠海中心站（鹤洲）枢纽地区建设。高品质建设沿坭湾门、鸡啼门、黄杨河等连接金湾斗门的西部一带九湾情侣路。加强乡村生态资源保护，建设岭南水乡特色田园休闲体系。打造斗门十里风光乡村风情带、水上旅游景观带，串联人文和自然资源节点，布局五星级度假农庄，全面提升西部乡村田园旅游品质和服务。</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hAnsi="仿宋" w:cs="Times New Roman"/>
          <w:b w:val="0"/>
          <w:bCs w:val="0"/>
          <w:sz w:val="32"/>
          <w:szCs w:val="32"/>
          <w:u w:val="none"/>
        </w:rPr>
      </w:pPr>
      <w:r>
        <w:rPr>
          <w:rFonts w:hint="eastAsia" w:ascii="仿宋_GB2312" w:hAnsi="仿宋" w:cs="宋体"/>
          <w:b w:val="0"/>
          <w:bCs w:val="0"/>
          <w:kern w:val="0"/>
          <w:sz w:val="32"/>
          <w:szCs w:val="32"/>
          <w:u w:val="none"/>
        </w:rPr>
        <w:t>依托海洋、沙滩、海岛、山体等景观资源，建设海岛特色休闲空间。开发海洋旅游和娱乐功能，</w:t>
      </w:r>
      <w:r>
        <w:rPr>
          <w:rFonts w:hint="eastAsia"/>
          <w:b w:val="0"/>
          <w:bCs w:val="0"/>
          <w:sz w:val="32"/>
          <w:szCs w:val="32"/>
          <w:u w:val="none"/>
        </w:rPr>
        <w:t>打造</w:t>
      </w:r>
      <w:r>
        <w:rPr>
          <w:rFonts w:hint="eastAsia" w:ascii="仿宋_GB2312" w:hAnsi="仿宋" w:cs="宋体"/>
          <w:b w:val="0"/>
          <w:bCs w:val="0"/>
          <w:kern w:val="0"/>
          <w:sz w:val="32"/>
          <w:szCs w:val="32"/>
          <w:u w:val="none"/>
        </w:rPr>
        <w:t>海上休闲空间。</w:t>
      </w:r>
    </w:p>
    <w:bookmarkEnd w:id="216"/>
    <w:p>
      <w:pPr>
        <w:pStyle w:val="81"/>
        <w:keepNext w:val="0"/>
        <w:keepLines w:val="0"/>
        <w:pageBreakBefore w:val="0"/>
        <w:widowControl w:val="0"/>
        <w:numPr>
          <w:ilvl w:val="0"/>
          <w:numId w:val="10"/>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222" w:name="_Toc12424"/>
      <w:r>
        <w:rPr>
          <w:rFonts w:hint="eastAsia"/>
          <w:b w:val="0"/>
          <w:bCs w:val="0"/>
          <w:sz w:val="32"/>
          <w:szCs w:val="32"/>
          <w:u w:val="none"/>
        </w:rPr>
        <w:t>精明增长</w:t>
      </w:r>
      <w:bookmarkEnd w:id="222"/>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223" w:name="_Toc6860"/>
      <w:r>
        <w:rPr>
          <w:rFonts w:hint="eastAsia"/>
          <w:b w:val="0"/>
          <w:bCs w:val="0"/>
          <w:sz w:val="32"/>
          <w:szCs w:val="32"/>
          <w:u w:val="none"/>
        </w:rPr>
        <w:t>集约</w:t>
      </w:r>
      <w:r>
        <w:rPr>
          <w:b w:val="0"/>
          <w:bCs w:val="0"/>
          <w:sz w:val="32"/>
          <w:szCs w:val="32"/>
          <w:u w:val="none"/>
        </w:rPr>
        <w:t>有序推进</w:t>
      </w:r>
      <w:r>
        <w:rPr>
          <w:rFonts w:hint="eastAsia"/>
          <w:b w:val="0"/>
          <w:bCs w:val="0"/>
          <w:sz w:val="32"/>
          <w:szCs w:val="32"/>
          <w:u w:val="none"/>
        </w:rPr>
        <w:t>城市</w:t>
      </w:r>
      <w:r>
        <w:rPr>
          <w:b w:val="0"/>
          <w:bCs w:val="0"/>
          <w:sz w:val="32"/>
          <w:szCs w:val="32"/>
          <w:u w:val="none"/>
        </w:rPr>
        <w:t>建设</w:t>
      </w:r>
      <w:bookmarkEnd w:id="223"/>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树立城市</w:t>
      </w:r>
      <w:r>
        <w:rPr>
          <w:rFonts w:ascii="仿宋_GB2312" w:hAnsi="仿宋" w:cs="Times New Roman"/>
          <w:b w:val="0"/>
          <w:bCs w:val="0"/>
          <w:kern w:val="0"/>
          <w:sz w:val="32"/>
          <w:szCs w:val="32"/>
          <w:u w:val="none"/>
        </w:rPr>
        <w:t>经营理念，推进成片开发</w:t>
      </w:r>
      <w:r>
        <w:rPr>
          <w:rFonts w:hint="eastAsia" w:ascii="仿宋_GB2312" w:hAnsi="仿宋" w:cs="Times New Roman"/>
          <w:b w:val="0"/>
          <w:bCs w:val="0"/>
          <w:kern w:val="0"/>
          <w:sz w:val="32"/>
          <w:szCs w:val="32"/>
          <w:u w:val="none"/>
        </w:rPr>
        <w:t>。以规划引领</w:t>
      </w:r>
      <w:r>
        <w:rPr>
          <w:rFonts w:ascii="仿宋_GB2312" w:hAnsi="仿宋" w:cs="Times New Roman"/>
          <w:b w:val="0"/>
          <w:bCs w:val="0"/>
          <w:kern w:val="0"/>
          <w:sz w:val="32"/>
          <w:szCs w:val="32"/>
          <w:u w:val="none"/>
        </w:rPr>
        <w:t>城市建设，促进土地高质量开发，推动城市高效</w:t>
      </w:r>
      <w:r>
        <w:rPr>
          <w:rFonts w:hint="eastAsia"/>
          <w:b w:val="0"/>
          <w:bCs w:val="0"/>
          <w:sz w:val="32"/>
          <w:szCs w:val="32"/>
          <w:u w:val="none"/>
        </w:rPr>
        <w:t>建设</w:t>
      </w:r>
      <w:r>
        <w:rPr>
          <w:rFonts w:ascii="仿宋_GB2312" w:hAnsi="仿宋" w:cs="Times New Roman"/>
          <w:b w:val="0"/>
          <w:bCs w:val="0"/>
          <w:kern w:val="0"/>
          <w:sz w:val="32"/>
          <w:szCs w:val="32"/>
          <w:u w:val="none"/>
        </w:rPr>
        <w:t>运营。合理安排城市建设时序</w:t>
      </w:r>
      <w:r>
        <w:rPr>
          <w:rFonts w:hint="eastAsia" w:ascii="仿宋_GB2312" w:hAnsi="仿宋" w:cs="Times New Roman"/>
          <w:b w:val="0"/>
          <w:bCs w:val="0"/>
          <w:kern w:val="0"/>
          <w:sz w:val="32"/>
          <w:szCs w:val="32"/>
          <w:u w:val="none"/>
        </w:rPr>
        <w:t>，</w:t>
      </w:r>
      <w:r>
        <w:rPr>
          <w:rFonts w:ascii="仿宋_GB2312" w:hAnsi="仿宋" w:cs="Times New Roman"/>
          <w:b w:val="0"/>
          <w:bCs w:val="0"/>
          <w:kern w:val="0"/>
          <w:sz w:val="32"/>
          <w:szCs w:val="32"/>
          <w:u w:val="none"/>
        </w:rPr>
        <w:t>有效</w:t>
      </w:r>
      <w:r>
        <w:rPr>
          <w:rFonts w:hint="eastAsia" w:ascii="仿宋_GB2312" w:hAnsi="仿宋" w:cs="Times New Roman"/>
          <w:b w:val="0"/>
          <w:bCs w:val="0"/>
          <w:kern w:val="0"/>
          <w:sz w:val="32"/>
          <w:szCs w:val="32"/>
          <w:u w:val="none"/>
        </w:rPr>
        <w:t>推动</w:t>
      </w:r>
      <w:r>
        <w:rPr>
          <w:rFonts w:ascii="仿宋_GB2312" w:hAnsi="仿宋" w:cs="Times New Roman"/>
          <w:b w:val="0"/>
          <w:bCs w:val="0"/>
          <w:kern w:val="0"/>
          <w:sz w:val="32"/>
          <w:szCs w:val="32"/>
          <w:u w:val="none"/>
        </w:rPr>
        <w:t>土地成片开发，力争</w:t>
      </w:r>
      <w:r>
        <w:rPr>
          <w:rFonts w:hint="eastAsia" w:ascii="仿宋_GB2312" w:hAnsi="仿宋" w:cs="Times New Roman"/>
          <w:b w:val="0"/>
          <w:bCs w:val="0"/>
          <w:kern w:val="0"/>
          <w:sz w:val="32"/>
          <w:szCs w:val="32"/>
          <w:u w:val="none"/>
        </w:rPr>
        <w:t>“规划一片、</w:t>
      </w:r>
      <w:r>
        <w:rPr>
          <w:rFonts w:ascii="仿宋_GB2312" w:hAnsi="仿宋" w:cs="Times New Roman"/>
          <w:b w:val="0"/>
          <w:bCs w:val="0"/>
          <w:kern w:val="0"/>
          <w:sz w:val="32"/>
          <w:szCs w:val="32"/>
          <w:u w:val="none"/>
        </w:rPr>
        <w:t>开发一片、成熟一片”</w:t>
      </w:r>
      <w:r>
        <w:rPr>
          <w:rFonts w:hint="eastAsia" w:ascii="仿宋_GB2312" w:hAnsi="仿宋" w:cs="Times New Roman"/>
          <w:b w:val="0"/>
          <w:bCs w:val="0"/>
          <w:kern w:val="0"/>
          <w:sz w:val="32"/>
          <w:szCs w:val="32"/>
          <w:u w:val="none"/>
        </w:rPr>
        <w:t>，</w:t>
      </w:r>
      <w:r>
        <w:rPr>
          <w:rFonts w:ascii="仿宋_GB2312" w:hAnsi="仿宋" w:cs="Times New Roman"/>
          <w:b w:val="0"/>
          <w:bCs w:val="0"/>
          <w:kern w:val="0"/>
          <w:sz w:val="32"/>
          <w:szCs w:val="32"/>
          <w:u w:val="none"/>
        </w:rPr>
        <w:t>实现</w:t>
      </w:r>
      <w:r>
        <w:rPr>
          <w:rFonts w:hint="eastAsia" w:ascii="仿宋_GB2312" w:hAnsi="仿宋" w:cs="Times New Roman"/>
          <w:b w:val="0"/>
          <w:bCs w:val="0"/>
          <w:kern w:val="0"/>
          <w:sz w:val="32"/>
          <w:szCs w:val="32"/>
          <w:u w:val="none"/>
        </w:rPr>
        <w:t>城市</w:t>
      </w:r>
      <w:r>
        <w:rPr>
          <w:rFonts w:ascii="仿宋_GB2312" w:hAnsi="仿宋" w:cs="Times New Roman"/>
          <w:b w:val="0"/>
          <w:bCs w:val="0"/>
          <w:kern w:val="0"/>
          <w:sz w:val="32"/>
          <w:szCs w:val="32"/>
          <w:u w:val="none"/>
        </w:rPr>
        <w:t>效益和土地价值双赢。</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224" w:name="_Toc19464"/>
      <w:r>
        <w:rPr>
          <w:rFonts w:hint="eastAsia"/>
          <w:b w:val="0"/>
          <w:bCs w:val="0"/>
          <w:sz w:val="32"/>
          <w:szCs w:val="32"/>
          <w:u w:val="none"/>
        </w:rPr>
        <w:t>协调新城</w:t>
      </w:r>
      <w:r>
        <w:rPr>
          <w:b w:val="0"/>
          <w:bCs w:val="0"/>
          <w:sz w:val="32"/>
          <w:szCs w:val="32"/>
          <w:u w:val="none"/>
        </w:rPr>
        <w:t>开发与旧城更新</w:t>
      </w:r>
      <w:bookmarkEnd w:id="224"/>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加快推进</w:t>
      </w:r>
      <w:r>
        <w:rPr>
          <w:rFonts w:ascii="仿宋_GB2312" w:hAnsi="仿宋" w:cs="Times New Roman"/>
          <w:b w:val="0"/>
          <w:bCs w:val="0"/>
          <w:kern w:val="0"/>
          <w:sz w:val="32"/>
          <w:szCs w:val="32"/>
          <w:u w:val="none"/>
        </w:rPr>
        <w:t>新城建设，有序实施旧城更新</w:t>
      </w:r>
      <w:r>
        <w:rPr>
          <w:rFonts w:hint="eastAsia" w:ascii="仿宋_GB2312" w:hAnsi="仿宋" w:cs="Times New Roman"/>
          <w:b w:val="0"/>
          <w:bCs w:val="0"/>
          <w:kern w:val="0"/>
          <w:sz w:val="32"/>
          <w:szCs w:val="32"/>
          <w:u w:val="none"/>
        </w:rPr>
        <w:t>。扎实稳步推动</w:t>
      </w:r>
      <w:r>
        <w:rPr>
          <w:rFonts w:ascii="仿宋_GB2312" w:hAnsi="仿宋" w:cs="Times New Roman"/>
          <w:b w:val="0"/>
          <w:bCs w:val="0"/>
          <w:kern w:val="0"/>
          <w:sz w:val="32"/>
          <w:szCs w:val="32"/>
          <w:u w:val="none"/>
        </w:rPr>
        <w:t>旧城更新，东部中心城区以解决民生重点问题为导向，</w:t>
      </w:r>
      <w:r>
        <w:rPr>
          <w:rFonts w:hint="eastAsia" w:ascii="仿宋_GB2312" w:hAnsi="仿宋" w:cs="Times New Roman"/>
          <w:b w:val="0"/>
          <w:bCs w:val="0"/>
          <w:kern w:val="0"/>
          <w:sz w:val="32"/>
          <w:szCs w:val="32"/>
          <w:u w:val="none"/>
        </w:rPr>
        <w:t>优先选择公共</w:t>
      </w:r>
      <w:r>
        <w:rPr>
          <w:rFonts w:ascii="仿宋_GB2312" w:hAnsi="仿宋" w:cs="Times New Roman"/>
          <w:b w:val="0"/>
          <w:bCs w:val="0"/>
          <w:kern w:val="0"/>
          <w:sz w:val="32"/>
          <w:szCs w:val="32"/>
          <w:u w:val="none"/>
        </w:rPr>
        <w:t>服务</w:t>
      </w:r>
      <w:r>
        <w:rPr>
          <w:rFonts w:hint="eastAsia" w:ascii="仿宋_GB2312" w:hAnsi="仿宋" w:cs="Times New Roman"/>
          <w:b w:val="0"/>
          <w:bCs w:val="0"/>
          <w:kern w:val="0"/>
          <w:sz w:val="32"/>
          <w:szCs w:val="32"/>
          <w:u w:val="none"/>
        </w:rPr>
        <w:t>配套</w:t>
      </w:r>
      <w:r>
        <w:rPr>
          <w:rFonts w:ascii="仿宋_GB2312" w:hAnsi="仿宋" w:cs="Times New Roman"/>
          <w:b w:val="0"/>
          <w:bCs w:val="0"/>
          <w:kern w:val="0"/>
          <w:sz w:val="32"/>
          <w:szCs w:val="32"/>
          <w:u w:val="none"/>
        </w:rPr>
        <w:t>缺口的</w:t>
      </w:r>
      <w:r>
        <w:rPr>
          <w:rFonts w:hint="eastAsia" w:ascii="仿宋_GB2312" w:hAnsi="仿宋" w:cs="Times New Roman"/>
          <w:b w:val="0"/>
          <w:bCs w:val="0"/>
          <w:kern w:val="0"/>
          <w:sz w:val="32"/>
          <w:szCs w:val="32"/>
          <w:u w:val="none"/>
        </w:rPr>
        <w:t>地区</w:t>
      </w:r>
      <w:r>
        <w:rPr>
          <w:rFonts w:ascii="仿宋_GB2312" w:hAnsi="仿宋" w:cs="Times New Roman"/>
          <w:b w:val="0"/>
          <w:bCs w:val="0"/>
          <w:kern w:val="0"/>
          <w:sz w:val="32"/>
          <w:szCs w:val="32"/>
          <w:u w:val="none"/>
        </w:rPr>
        <w:t>进行更新，满足日益增长的公共服务需求。全面</w:t>
      </w:r>
      <w:r>
        <w:rPr>
          <w:rFonts w:hint="eastAsia" w:ascii="仿宋_GB2312" w:hAnsi="仿宋" w:cs="Times New Roman"/>
          <w:b w:val="0"/>
          <w:bCs w:val="0"/>
          <w:kern w:val="0"/>
          <w:sz w:val="32"/>
          <w:szCs w:val="32"/>
          <w:u w:val="none"/>
        </w:rPr>
        <w:t>高效促进</w:t>
      </w:r>
      <w:r>
        <w:rPr>
          <w:rFonts w:ascii="仿宋_GB2312" w:hAnsi="仿宋" w:cs="Times New Roman"/>
          <w:b w:val="0"/>
          <w:bCs w:val="0"/>
          <w:kern w:val="0"/>
          <w:sz w:val="32"/>
          <w:szCs w:val="32"/>
          <w:u w:val="none"/>
        </w:rPr>
        <w:t>新城</w:t>
      </w:r>
      <w:r>
        <w:rPr>
          <w:rFonts w:hint="eastAsia" w:ascii="仿宋_GB2312" w:hAnsi="仿宋" w:cs="Times New Roman"/>
          <w:b w:val="0"/>
          <w:bCs w:val="0"/>
          <w:kern w:val="0"/>
          <w:sz w:val="32"/>
          <w:szCs w:val="32"/>
          <w:u w:val="none"/>
        </w:rPr>
        <w:t>开发</w:t>
      </w:r>
      <w:r>
        <w:rPr>
          <w:rFonts w:ascii="仿宋_GB2312" w:hAnsi="仿宋" w:cs="Times New Roman"/>
          <w:b w:val="0"/>
          <w:bCs w:val="0"/>
          <w:kern w:val="0"/>
          <w:sz w:val="32"/>
          <w:szCs w:val="32"/>
          <w:u w:val="none"/>
        </w:rPr>
        <w:t>，重点建设西部中心城区，提升西部地区的综合配套服务</w:t>
      </w:r>
      <w:r>
        <w:rPr>
          <w:rFonts w:hint="eastAsia" w:ascii="仿宋_GB2312" w:hAnsi="仿宋" w:cs="Times New Roman"/>
          <w:b w:val="0"/>
          <w:bCs w:val="0"/>
          <w:kern w:val="0"/>
          <w:sz w:val="32"/>
          <w:szCs w:val="32"/>
          <w:u w:val="none"/>
        </w:rPr>
        <w:t>水平</w:t>
      </w:r>
      <w:r>
        <w:rPr>
          <w:rFonts w:ascii="仿宋_GB2312" w:hAnsi="仿宋" w:cs="Times New Roman"/>
          <w:b w:val="0"/>
          <w:bCs w:val="0"/>
          <w:kern w:val="0"/>
          <w:sz w:val="32"/>
          <w:szCs w:val="32"/>
          <w:u w:val="none"/>
        </w:rPr>
        <w:t>。</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225" w:name="_Toc2092"/>
      <w:r>
        <w:rPr>
          <w:rFonts w:hint="eastAsia"/>
          <w:b w:val="0"/>
          <w:bCs w:val="0"/>
          <w:sz w:val="32"/>
          <w:szCs w:val="32"/>
          <w:u w:val="none"/>
        </w:rPr>
        <w:t>实施复合开发提升</w:t>
      </w:r>
      <w:r>
        <w:rPr>
          <w:rFonts w:hint="eastAsia"/>
          <w:b w:val="0"/>
          <w:bCs w:val="0"/>
          <w:sz w:val="32"/>
          <w:szCs w:val="32"/>
          <w:u w:val="none"/>
          <w:lang w:val="en-US"/>
        </w:rPr>
        <w:t>土地</w:t>
      </w:r>
      <w:r>
        <w:rPr>
          <w:rFonts w:hint="eastAsia"/>
          <w:b w:val="0"/>
          <w:bCs w:val="0"/>
          <w:sz w:val="32"/>
          <w:szCs w:val="32"/>
          <w:u w:val="none"/>
        </w:rPr>
        <w:t>效率</w:t>
      </w:r>
      <w:bookmarkEnd w:id="225"/>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hAnsi="仿宋" w:cs="宋体"/>
          <w:b w:val="0"/>
          <w:bCs w:val="0"/>
          <w:kern w:val="0"/>
          <w:sz w:val="32"/>
          <w:szCs w:val="32"/>
          <w:u w:val="none"/>
        </w:rPr>
      </w:pPr>
      <w:r>
        <w:rPr>
          <w:rFonts w:hint="eastAsia" w:ascii="仿宋_GB2312" w:hAnsi="仿宋" w:cs="Times New Roman"/>
          <w:b w:val="0"/>
          <w:bCs w:val="0"/>
          <w:kern w:val="0"/>
          <w:sz w:val="32"/>
          <w:szCs w:val="32"/>
          <w:u w:val="none"/>
        </w:rPr>
        <w:t>推行用地与功能复合开发。结合</w:t>
      </w:r>
      <w:r>
        <w:rPr>
          <w:rFonts w:ascii="仿宋_GB2312" w:hAnsi="仿宋" w:cs="Times New Roman"/>
          <w:b w:val="0"/>
          <w:bCs w:val="0"/>
          <w:kern w:val="0"/>
          <w:sz w:val="32"/>
          <w:szCs w:val="32"/>
          <w:u w:val="none"/>
        </w:rPr>
        <w:t>轨道交通站点</w:t>
      </w:r>
      <w:r>
        <w:rPr>
          <w:rFonts w:hint="eastAsia" w:ascii="仿宋_GB2312" w:hAnsi="仿宋" w:cs="Times New Roman"/>
          <w:b w:val="0"/>
          <w:bCs w:val="0"/>
          <w:kern w:val="0"/>
          <w:sz w:val="32"/>
          <w:szCs w:val="32"/>
          <w:u w:val="none"/>
        </w:rPr>
        <w:t>布局，推动</w:t>
      </w:r>
      <w:r>
        <w:rPr>
          <w:rFonts w:cs="Times New Roman"/>
          <w:b w:val="0"/>
          <w:bCs w:val="0"/>
          <w:kern w:val="0"/>
          <w:sz w:val="32"/>
          <w:szCs w:val="32"/>
          <w:u w:val="none"/>
        </w:rPr>
        <w:t>TOD</w:t>
      </w:r>
      <w:r>
        <w:rPr>
          <w:rFonts w:ascii="仿宋_GB2312" w:hAnsi="仿宋" w:cs="Times New Roman"/>
          <w:b w:val="0"/>
          <w:bCs w:val="0"/>
          <w:kern w:val="0"/>
          <w:sz w:val="32"/>
          <w:szCs w:val="32"/>
          <w:u w:val="none"/>
        </w:rPr>
        <w:t>一体化开发</w:t>
      </w:r>
      <w:r>
        <w:rPr>
          <w:rFonts w:hint="eastAsia" w:ascii="仿宋_GB2312" w:hAnsi="仿宋" w:cs="Times New Roman"/>
          <w:b w:val="0"/>
          <w:bCs w:val="0"/>
          <w:kern w:val="0"/>
          <w:sz w:val="32"/>
          <w:szCs w:val="32"/>
          <w:u w:val="none"/>
        </w:rPr>
        <w:t>，提高土地利用效益</w:t>
      </w:r>
      <w:r>
        <w:rPr>
          <w:rFonts w:ascii="仿宋_GB2312" w:hAnsi="仿宋" w:cs="Times New Roman"/>
          <w:b w:val="0"/>
          <w:bCs w:val="0"/>
          <w:kern w:val="0"/>
          <w:sz w:val="32"/>
          <w:szCs w:val="32"/>
          <w:u w:val="none"/>
        </w:rPr>
        <w:t>。</w:t>
      </w:r>
      <w:r>
        <w:rPr>
          <w:rFonts w:hint="eastAsia" w:ascii="仿宋_GB2312" w:hAnsi="仿宋" w:cs="Times New Roman"/>
          <w:b w:val="0"/>
          <w:bCs w:val="0"/>
          <w:kern w:val="0"/>
          <w:sz w:val="32"/>
          <w:szCs w:val="32"/>
          <w:u w:val="none"/>
        </w:rPr>
        <w:t>通过功能弹性管控，实现土地混合利用，提升城市活力。鼓励建筑功能、业态在水平和竖向空间上分层复合，实现空间价值最大化。</w:t>
      </w:r>
    </w:p>
    <w:p>
      <w:pPr>
        <w:pStyle w:val="81"/>
        <w:keepNext w:val="0"/>
        <w:keepLines w:val="0"/>
        <w:pageBreakBefore w:val="0"/>
        <w:widowControl w:val="0"/>
        <w:numPr>
          <w:ilvl w:val="0"/>
          <w:numId w:val="10"/>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226" w:name="_Toc17505"/>
      <w:r>
        <w:rPr>
          <w:rFonts w:hint="eastAsia"/>
          <w:b w:val="0"/>
          <w:bCs w:val="0"/>
          <w:sz w:val="32"/>
          <w:szCs w:val="32"/>
          <w:u w:val="none"/>
        </w:rPr>
        <w:t>历史文化保护与合理利用</w:t>
      </w:r>
      <w:bookmarkEnd w:id="226"/>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27" w:name="_Toc10818"/>
      <w:bookmarkStart w:id="228" w:name="_Toc23888"/>
      <w:bookmarkStart w:id="229" w:name="_Toc142402679"/>
      <w:bookmarkStart w:id="230" w:name="_Toc138942680"/>
      <w:r>
        <w:rPr>
          <w:rFonts w:hint="eastAsia"/>
          <w:b w:val="0"/>
          <w:bCs w:val="0"/>
          <w:sz w:val="32"/>
          <w:szCs w:val="32"/>
          <w:u w:val="none"/>
        </w:rPr>
        <w:t>打造滨海</w:t>
      </w:r>
      <w:r>
        <w:rPr>
          <w:rFonts w:hint="eastAsia"/>
          <w:b w:val="0"/>
          <w:bCs w:val="0"/>
          <w:sz w:val="32"/>
          <w:szCs w:val="32"/>
          <w:u w:val="none"/>
          <w:lang w:val="en-US"/>
        </w:rPr>
        <w:t>特色</w:t>
      </w:r>
      <w:r>
        <w:rPr>
          <w:rFonts w:hint="eastAsia"/>
          <w:b w:val="0"/>
          <w:bCs w:val="0"/>
          <w:sz w:val="32"/>
          <w:szCs w:val="32"/>
          <w:u w:val="none"/>
        </w:rPr>
        <w:t>文化名城</w:t>
      </w:r>
      <w:bookmarkEnd w:id="227"/>
      <w:bookmarkEnd w:id="228"/>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充分凝聚文化传承共识，持续涵养城市特色文化，构建以历史文化遗产为空间载体，非物质文化遗产和海洋文化特质为灵魂的历史文化保护传承体系，以建设“国家历史文化名城”为目标，充分发挥珠海作为粤港澳大湾区历史上重要的海洋门户、近代中国东西文化交汇的重要起点和通道，以及中国近代以来对外开放的实验首区、具有历史文脉延续性的经济特区的历史地位与作用。</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31" w:name="_Toc2958"/>
      <w:bookmarkStart w:id="232" w:name="_Toc30815"/>
      <w:r>
        <w:rPr>
          <w:rFonts w:hint="eastAsia"/>
          <w:b w:val="0"/>
          <w:bCs w:val="0"/>
          <w:sz w:val="32"/>
          <w:szCs w:val="32"/>
          <w:u w:val="none"/>
        </w:rPr>
        <w:t>完善历史</w:t>
      </w:r>
      <w:r>
        <w:rPr>
          <w:rFonts w:hint="eastAsia"/>
          <w:b w:val="0"/>
          <w:bCs w:val="0"/>
          <w:sz w:val="32"/>
          <w:szCs w:val="32"/>
          <w:u w:val="none"/>
          <w:lang w:val="en-US"/>
        </w:rPr>
        <w:t>文化</w:t>
      </w:r>
      <w:r>
        <w:rPr>
          <w:rFonts w:hint="eastAsia"/>
          <w:b w:val="0"/>
          <w:bCs w:val="0"/>
          <w:sz w:val="32"/>
          <w:szCs w:val="32"/>
          <w:u w:val="none"/>
        </w:rPr>
        <w:t>保护传承体系</w:t>
      </w:r>
      <w:bookmarkEnd w:id="231"/>
      <w:bookmarkEnd w:id="232"/>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hAnsi="仿宋" w:cs="Times New Roman"/>
          <w:b w:val="0"/>
          <w:bCs w:val="0"/>
          <w:sz w:val="32"/>
          <w:szCs w:val="32"/>
          <w:u w:val="none"/>
        </w:rPr>
      </w:pPr>
      <w:r>
        <w:rPr>
          <w:rFonts w:hint="eastAsia" w:ascii="仿宋_GB2312" w:hAnsi="仿宋" w:cs="Times New Roman"/>
          <w:b w:val="0"/>
          <w:bCs w:val="0"/>
          <w:kern w:val="0"/>
          <w:sz w:val="32"/>
          <w:szCs w:val="32"/>
          <w:u w:val="none"/>
        </w:rPr>
        <w:t>立足珠海特色，构建包括历史文化名镇、名村、传统村落、街区、不可移动文物、历史建筑、改革开放历史性建筑、香山古驿道、非物质文化遗产等在内的全时期、全空间、全要素历史文化保护传承体系，详见专栏</w:t>
      </w:r>
      <w:r>
        <w:rPr>
          <w:rFonts w:cs="Times New Roman"/>
          <w:b w:val="0"/>
          <w:bCs w:val="0"/>
          <w:kern w:val="0"/>
          <w:sz w:val="32"/>
          <w:szCs w:val="32"/>
          <w:u w:val="none"/>
        </w:rPr>
        <w:t>9</w:t>
      </w:r>
      <w:r>
        <w:rPr>
          <w:rFonts w:hint="eastAsia" w:ascii="仿宋_GB2312" w:hAnsi="仿宋" w:cs="Times New Roman"/>
          <w:b w:val="0"/>
          <w:bCs w:val="0"/>
          <w:kern w:val="0"/>
          <w:sz w:val="32"/>
          <w:szCs w:val="32"/>
          <w:u w:val="none"/>
        </w:rPr>
        <w:t>-</w:t>
      </w:r>
      <w:r>
        <w:rPr>
          <w:rFonts w:hint="eastAsia" w:cs="Times New Roman"/>
          <w:b w:val="0"/>
          <w:bCs w:val="0"/>
          <w:kern w:val="0"/>
          <w:sz w:val="32"/>
          <w:szCs w:val="32"/>
          <w:u w:val="none"/>
        </w:rPr>
        <w:t>5</w:t>
      </w:r>
      <w:r>
        <w:rPr>
          <w:rFonts w:hint="eastAsia" w:ascii="仿宋_GB2312" w:hAnsi="仿宋" w:cs="Times New Roman"/>
          <w:b w:val="0"/>
          <w:bCs w:val="0"/>
          <w:kern w:val="0"/>
          <w:sz w:val="32"/>
          <w:szCs w:val="32"/>
          <w:u w:val="none"/>
        </w:rPr>
        <w:t>。</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6" w:type="dxa"/>
            <w:shd w:val="clear" w:color="auto" w:fill="D9D9D9"/>
            <w:noWrap w:val="0"/>
            <w:vAlign w:val="top"/>
          </w:tcPr>
          <w:p>
            <w:pPr>
              <w:spacing w:before="46" w:after="46"/>
              <w:ind w:firstLine="0" w:firstLineChars="0"/>
              <w:jc w:val="center"/>
              <w:rPr>
                <w:rFonts w:hint="eastAsia"/>
                <w:b w:val="0"/>
                <w:bCs w:val="0"/>
                <w:u w:val="none"/>
              </w:rPr>
            </w:pPr>
            <w:r>
              <w:rPr>
                <w:rFonts w:eastAsia="黑体" w:cs="Times New Roman"/>
                <w:b w:val="0"/>
                <w:bCs w:val="0"/>
                <w:kern w:val="0"/>
                <w:u w:val="none"/>
              </w:rPr>
              <w:t>专栏9-5：</w:t>
            </w:r>
            <w:r>
              <w:rPr>
                <w:rFonts w:hint="eastAsia" w:eastAsia="黑体" w:cs="Times New Roman"/>
                <w:b w:val="0"/>
                <w:bCs w:val="0"/>
                <w:kern w:val="0"/>
                <w:u w:val="none"/>
              </w:rPr>
              <w:t>历史文化保护传承体系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6" w:type="dxa"/>
            <w:noWrap w:val="0"/>
            <w:vAlign w:val="top"/>
          </w:tcPr>
          <w:p>
            <w:pPr>
              <w:pStyle w:val="61"/>
              <w:ind w:firstLine="480"/>
              <w:rPr>
                <w:rFonts w:hint="eastAsia"/>
                <w:b w:val="0"/>
                <w:bCs w:val="0"/>
                <w:u w:val="none"/>
              </w:rPr>
            </w:pPr>
            <w:r>
              <w:rPr>
                <w:rFonts w:hint="eastAsia"/>
                <w:b w:val="0"/>
                <w:bCs w:val="0"/>
                <w:u w:val="none"/>
              </w:rPr>
              <w:t>1.历史文化名镇、名村、传统村落、街区</w:t>
            </w:r>
          </w:p>
          <w:p>
            <w:pPr>
              <w:pStyle w:val="61"/>
              <w:ind w:firstLine="480"/>
              <w:rPr>
                <w:rFonts w:hint="eastAsia"/>
                <w:b w:val="0"/>
                <w:bCs w:val="0"/>
                <w:u w:val="none"/>
              </w:rPr>
            </w:pPr>
            <w:r>
              <w:rPr>
                <w:rFonts w:hint="eastAsia"/>
                <w:b w:val="0"/>
                <w:bCs w:val="0"/>
                <w:u w:val="none"/>
              </w:rPr>
              <w:t>保护唐家湾､斗门2个中国历史文化名镇；北山村1个广东省历史文化名村；2个中国传统村落、8个广东省传统村落、39个珠海市传统村落；唐家、淇澳、会同、香洲埠、南屏、斗门旧街6处广东省历史文化街区。</w:t>
            </w:r>
          </w:p>
          <w:p>
            <w:pPr>
              <w:pStyle w:val="61"/>
              <w:ind w:firstLine="480"/>
              <w:rPr>
                <w:rFonts w:hint="eastAsia"/>
                <w:b w:val="0"/>
                <w:bCs w:val="0"/>
                <w:u w:val="none"/>
              </w:rPr>
            </w:pPr>
            <w:r>
              <w:rPr>
                <w:rFonts w:hint="eastAsia"/>
                <w:b w:val="0"/>
                <w:bCs w:val="0"/>
                <w:u w:val="none"/>
              </w:rPr>
              <w:t>2</w:t>
            </w:r>
            <w:r>
              <w:rPr>
                <w:b w:val="0"/>
                <w:bCs w:val="0"/>
                <w:u w:val="none"/>
              </w:rPr>
              <w:t>.</w:t>
            </w:r>
            <w:r>
              <w:rPr>
                <w:rFonts w:hint="eastAsia"/>
                <w:b w:val="0"/>
                <w:bCs w:val="0"/>
                <w:u w:val="none"/>
              </w:rPr>
              <w:t>不可移动文物</w:t>
            </w:r>
          </w:p>
          <w:p>
            <w:pPr>
              <w:pStyle w:val="61"/>
              <w:ind w:firstLine="480"/>
              <w:rPr>
                <w:rFonts w:hint="eastAsia"/>
                <w:b w:val="0"/>
                <w:bCs w:val="0"/>
                <w:u w:val="none"/>
              </w:rPr>
            </w:pPr>
            <w:r>
              <w:rPr>
                <w:rFonts w:hint="eastAsia"/>
                <w:b w:val="0"/>
                <w:bCs w:val="0"/>
                <w:u w:val="none"/>
              </w:rPr>
              <w:t>不可移动文物367处，其中包括3处全国国重点文物保护单位、26处广东省文物保护单位、37处珠海市文物保护单位、48处区级文物保护单位。</w:t>
            </w:r>
          </w:p>
          <w:p>
            <w:pPr>
              <w:pStyle w:val="61"/>
              <w:ind w:firstLine="480"/>
              <w:rPr>
                <w:rFonts w:hint="eastAsia"/>
                <w:b w:val="0"/>
                <w:bCs w:val="0"/>
                <w:u w:val="none"/>
              </w:rPr>
            </w:pPr>
            <w:r>
              <w:rPr>
                <w:rFonts w:hint="eastAsia"/>
                <w:b w:val="0"/>
                <w:bCs w:val="0"/>
                <w:u w:val="none"/>
              </w:rPr>
              <w:t>3</w:t>
            </w:r>
            <w:r>
              <w:rPr>
                <w:b w:val="0"/>
                <w:bCs w:val="0"/>
                <w:u w:val="none"/>
              </w:rPr>
              <w:t>.</w:t>
            </w:r>
            <w:r>
              <w:rPr>
                <w:rFonts w:hint="eastAsia"/>
                <w:b w:val="0"/>
                <w:bCs w:val="0"/>
                <w:u w:val="none"/>
              </w:rPr>
              <w:t>香山古驿道</w:t>
            </w:r>
          </w:p>
          <w:p>
            <w:pPr>
              <w:pStyle w:val="61"/>
              <w:ind w:firstLine="480"/>
              <w:rPr>
                <w:rFonts w:hint="eastAsia"/>
                <w:b w:val="0"/>
                <w:bCs w:val="0"/>
                <w:u w:val="none"/>
              </w:rPr>
            </w:pPr>
            <w:r>
              <w:rPr>
                <w:rFonts w:hint="eastAsia"/>
                <w:b w:val="0"/>
                <w:bCs w:val="0"/>
                <w:u w:val="none"/>
              </w:rPr>
              <w:t>保护约132公里香山古驿道，包括香洲区岐澳古道、长南迳古道、凤凰山古道、金星门水道约63.5公里；东澳岛东澳海关古道约0.7公里；斗门区茶冷迳古道、大迳古道、西坑迳古道、乾务迳古道、黄杨山古道约67.5公里。</w:t>
            </w:r>
          </w:p>
          <w:p>
            <w:pPr>
              <w:pStyle w:val="61"/>
              <w:ind w:firstLine="480"/>
              <w:rPr>
                <w:rFonts w:hint="eastAsia"/>
                <w:b w:val="0"/>
                <w:bCs w:val="0"/>
                <w:u w:val="none"/>
              </w:rPr>
            </w:pPr>
            <w:r>
              <w:rPr>
                <w:rFonts w:hint="eastAsia"/>
                <w:b w:val="0"/>
                <w:bCs w:val="0"/>
                <w:u w:val="none"/>
              </w:rPr>
              <w:t>4</w:t>
            </w:r>
            <w:r>
              <w:rPr>
                <w:b w:val="0"/>
                <w:bCs w:val="0"/>
                <w:u w:val="none"/>
              </w:rPr>
              <w:t>.</w:t>
            </w:r>
            <w:r>
              <w:rPr>
                <w:rFonts w:hint="eastAsia"/>
                <w:b w:val="0"/>
                <w:bCs w:val="0"/>
                <w:u w:val="none"/>
              </w:rPr>
              <w:t>非物质文化遗产</w:t>
            </w:r>
          </w:p>
          <w:p>
            <w:pPr>
              <w:pStyle w:val="61"/>
              <w:ind w:firstLine="480"/>
              <w:rPr>
                <w:rFonts w:hint="eastAsia"/>
                <w:b w:val="0"/>
                <w:bCs w:val="0"/>
                <w:u w:val="none"/>
              </w:rPr>
            </w:pPr>
            <w:r>
              <w:rPr>
                <w:rFonts w:hint="eastAsia"/>
                <w:b w:val="0"/>
                <w:bCs w:val="0"/>
                <w:u w:val="none"/>
              </w:rPr>
              <w:t>保护54项市级以上非物质文化遗产代表性项目，包括斗门水上婚嫁习俗、鹤舞（三灶鹤舞）、装泥鱼习俗、一指禅推拿等国家级4项，前山凤鸡舞、中秋对歌会、三灶民歌、横山鸭扎包等省级14项，市级36项。</w:t>
            </w:r>
          </w:p>
          <w:p>
            <w:pPr>
              <w:pStyle w:val="61"/>
              <w:ind w:firstLine="480"/>
              <w:rPr>
                <w:rFonts w:hint="eastAsia"/>
                <w:b w:val="0"/>
                <w:bCs w:val="0"/>
                <w:u w:val="none"/>
              </w:rPr>
            </w:pPr>
            <w:r>
              <w:rPr>
                <w:rFonts w:hint="eastAsia"/>
                <w:b w:val="0"/>
                <w:bCs w:val="0"/>
                <w:u w:val="none"/>
              </w:rPr>
              <w:t>相关数据根据实际情况动态调整。</w:t>
            </w:r>
          </w:p>
        </w:tc>
      </w:tr>
    </w:tbl>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u w:val="none"/>
        </w:rPr>
      </w:pPr>
      <w:bookmarkStart w:id="233" w:name="_Toc2570"/>
      <w:bookmarkStart w:id="234" w:name="_Toc12452"/>
      <w:r>
        <w:rPr>
          <w:rFonts w:hint="eastAsia"/>
          <w:b w:val="0"/>
          <w:bCs w:val="0"/>
          <w:u w:val="none"/>
        </w:rPr>
        <w:t>强化历史文化遗产保护</w:t>
      </w:r>
      <w:bookmarkEnd w:id="233"/>
      <w:bookmarkEnd w:id="234"/>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b w:val="0"/>
          <w:bCs w:val="0"/>
          <w:sz w:val="32"/>
          <w:szCs w:val="32"/>
          <w:u w:val="none"/>
        </w:rPr>
      </w:pPr>
      <w:r>
        <w:rPr>
          <w:rFonts w:hint="eastAsia" w:ascii="仿宋_GB2312" w:hAnsi="仿宋" w:cs="Times New Roman"/>
          <w:b w:val="0"/>
          <w:bCs w:val="0"/>
          <w:kern w:val="0"/>
          <w:sz w:val="32"/>
          <w:szCs w:val="32"/>
          <w:u w:val="none"/>
        </w:rPr>
        <w:t>开展历史文化遗产资源普查、认定及申报，划定包括</w:t>
      </w:r>
      <w:r>
        <w:rPr>
          <w:rFonts w:ascii="仿宋_GB2312" w:hAnsi="仿宋" w:cs="Times New Roman"/>
          <w:b w:val="0"/>
          <w:bCs w:val="0"/>
          <w:kern w:val="0"/>
          <w:sz w:val="32"/>
          <w:szCs w:val="32"/>
          <w:u w:val="none"/>
        </w:rPr>
        <w:t>历史城区</w:t>
      </w:r>
      <w:r>
        <w:rPr>
          <w:rFonts w:hint="eastAsia" w:ascii="仿宋_GB2312" w:hAnsi="仿宋" w:cs="Times New Roman"/>
          <w:b w:val="0"/>
          <w:bCs w:val="0"/>
          <w:kern w:val="0"/>
          <w:sz w:val="32"/>
          <w:szCs w:val="32"/>
          <w:u w:val="none"/>
        </w:rPr>
        <w:t>、历史文化名镇、历史文化名村、传统村落、历史文化街区、各级文物保护单位、尚未核定为文物保护单位的不可移动文物、历史建筑、地下文物埋藏区保护范围等</w:t>
      </w:r>
      <w:r>
        <w:rPr>
          <w:rFonts w:ascii="仿宋_GB2312" w:hAnsi="仿宋" w:cs="Times New Roman"/>
          <w:b w:val="0"/>
          <w:bCs w:val="0"/>
          <w:kern w:val="0"/>
          <w:sz w:val="32"/>
          <w:szCs w:val="32"/>
          <w:u w:val="none"/>
        </w:rPr>
        <w:t>历史文化保护线</w:t>
      </w:r>
      <w:r>
        <w:rPr>
          <w:rFonts w:hint="eastAsia" w:ascii="仿宋_GB2312" w:hAnsi="仿宋" w:cs="Times New Roman"/>
          <w:b w:val="0"/>
          <w:bCs w:val="0"/>
          <w:kern w:val="0"/>
          <w:sz w:val="32"/>
          <w:szCs w:val="32"/>
          <w:u w:val="none"/>
        </w:rPr>
        <w:t>，搭建历史文化保护“一张图”。</w:t>
      </w:r>
      <w:r>
        <w:rPr>
          <w:rFonts w:hint="eastAsia" w:ascii="仿宋_GB2312" w:hAnsi="仿宋_GB2312" w:cs="仿宋_GB2312"/>
          <w:b w:val="0"/>
          <w:bCs w:val="0"/>
          <w:kern w:val="0"/>
          <w:sz w:val="32"/>
          <w:szCs w:val="32"/>
          <w:u w:val="none"/>
        </w:rPr>
        <w:t>健全历史文化遗产日常管理及活化利用机制，探索建立全社会共同参与的保护平台和奖补</w:t>
      </w:r>
      <w:r>
        <w:rPr>
          <w:rFonts w:hint="eastAsia"/>
          <w:b w:val="0"/>
          <w:bCs w:val="0"/>
          <w:sz w:val="32"/>
          <w:szCs w:val="32"/>
          <w:u w:val="none"/>
        </w:rPr>
        <w:t>机制</w:t>
      </w:r>
      <w:r>
        <w:rPr>
          <w:rFonts w:hint="eastAsia" w:ascii="仿宋_GB2312" w:hAnsi="仿宋_GB2312" w:cs="仿宋_GB2312"/>
          <w:b w:val="0"/>
          <w:bCs w:val="0"/>
          <w:kern w:val="0"/>
          <w:sz w:val="32"/>
          <w:szCs w:val="32"/>
          <w:u w:val="none"/>
        </w:rPr>
        <w:t>。</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b w:val="0"/>
          <w:bCs w:val="0"/>
          <w:sz w:val="32"/>
          <w:szCs w:val="32"/>
          <w:u w:val="none"/>
        </w:rPr>
      </w:pPr>
      <w:r>
        <w:rPr>
          <w:rFonts w:hint="eastAsia" w:ascii="仿宋_GB2312" w:hAnsi="仿宋"/>
          <w:b w:val="0"/>
          <w:bCs w:val="0"/>
          <w:sz w:val="32"/>
          <w:szCs w:val="32"/>
          <w:u w:val="none"/>
        </w:rPr>
        <w:t>明确历史文化资源利用管控要求，详见专栏</w:t>
      </w:r>
      <w:r>
        <w:rPr>
          <w:rFonts w:hint="eastAsia"/>
          <w:b w:val="0"/>
          <w:bCs w:val="0"/>
          <w:sz w:val="32"/>
          <w:szCs w:val="32"/>
          <w:u w:val="none"/>
        </w:rPr>
        <w:t>9</w:t>
      </w:r>
      <w:r>
        <w:rPr>
          <w:rFonts w:ascii="仿宋_GB2312" w:hAnsi="仿宋"/>
          <w:b w:val="0"/>
          <w:bCs w:val="0"/>
          <w:sz w:val="32"/>
          <w:szCs w:val="32"/>
          <w:u w:val="none"/>
        </w:rPr>
        <w:t>-</w:t>
      </w:r>
      <w:r>
        <w:rPr>
          <w:b w:val="0"/>
          <w:bCs w:val="0"/>
          <w:sz w:val="32"/>
          <w:szCs w:val="32"/>
          <w:u w:val="none"/>
        </w:rPr>
        <w:t>6</w:t>
      </w:r>
      <w:r>
        <w:rPr>
          <w:rFonts w:hint="eastAsia" w:ascii="仿宋_GB2312" w:hAnsi="仿宋"/>
          <w:b w:val="0"/>
          <w:bCs w:val="0"/>
          <w:sz w:val="32"/>
          <w:szCs w:val="32"/>
          <w:u w:val="none"/>
        </w:rPr>
        <w:t>。历史文化名镇、名村、传统村落、历史文化街区、文物保护单位、历史建筑的保护与利用应按照规范要求编制保护规划。</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shd w:val="clear" w:color="auto" w:fill="D9D9D9"/>
            <w:noWrap w:val="0"/>
            <w:vAlign w:val="top"/>
          </w:tcPr>
          <w:p>
            <w:pPr>
              <w:spacing w:before="46" w:after="46"/>
              <w:ind w:firstLine="0" w:firstLineChars="0"/>
              <w:jc w:val="center"/>
              <w:rPr>
                <w:rFonts w:hint="eastAsia" w:ascii="Calibri" w:hAnsi="Calibri"/>
                <w:b w:val="0"/>
                <w:bCs w:val="0"/>
                <w:u w:val="none"/>
              </w:rPr>
            </w:pPr>
            <w:r>
              <w:rPr>
                <w:rFonts w:ascii="Calibri" w:hAnsi="Calibri" w:eastAsia="黑体" w:cs="Times New Roman"/>
                <w:b w:val="0"/>
                <w:bCs w:val="0"/>
                <w:kern w:val="0"/>
                <w:u w:val="none"/>
              </w:rPr>
              <w:t>专栏</w:t>
            </w:r>
            <w:r>
              <w:rPr>
                <w:rFonts w:eastAsia="黑体" w:cs="Times New Roman"/>
                <w:b w:val="0"/>
                <w:bCs w:val="0"/>
                <w:kern w:val="0"/>
                <w:u w:val="none"/>
              </w:rPr>
              <w:t>9</w:t>
            </w:r>
            <w:r>
              <w:rPr>
                <w:rFonts w:ascii="Calibri" w:hAnsi="Calibri" w:eastAsia="黑体" w:cs="Times New Roman"/>
                <w:b w:val="0"/>
                <w:bCs w:val="0"/>
                <w:kern w:val="0"/>
                <w:u w:val="none"/>
              </w:rPr>
              <w:t>-</w:t>
            </w:r>
            <w:r>
              <w:rPr>
                <w:rFonts w:hint="eastAsia" w:eastAsia="黑体" w:cs="Times New Roman"/>
                <w:b w:val="0"/>
                <w:bCs w:val="0"/>
                <w:kern w:val="0"/>
                <w:u w:val="none"/>
              </w:rPr>
              <w:t>6</w:t>
            </w:r>
            <w:r>
              <w:rPr>
                <w:rFonts w:ascii="Calibri" w:hAnsi="Calibri" w:eastAsia="黑体" w:cs="Times New Roman"/>
                <w:b w:val="0"/>
                <w:bCs w:val="0"/>
                <w:kern w:val="0"/>
                <w:u w:val="none"/>
              </w:rPr>
              <w:t>：</w:t>
            </w:r>
            <w:r>
              <w:rPr>
                <w:rFonts w:hint="eastAsia" w:ascii="Calibri" w:hAnsi="Calibri" w:eastAsia="黑体" w:cs="Times New Roman"/>
                <w:b w:val="0"/>
                <w:bCs w:val="0"/>
                <w:kern w:val="0"/>
                <w:u w:val="none"/>
              </w:rPr>
              <w:t>历史文化资源管控要求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noWrap w:val="0"/>
            <w:vAlign w:val="top"/>
          </w:tcPr>
          <w:p>
            <w:pPr>
              <w:pStyle w:val="61"/>
              <w:numPr>
                <w:ilvl w:val="0"/>
                <w:numId w:val="11"/>
              </w:numPr>
              <w:ind w:firstLine="480"/>
              <w:rPr>
                <w:rFonts w:hint="eastAsia"/>
                <w:b w:val="0"/>
                <w:bCs w:val="0"/>
                <w:u w:val="none"/>
              </w:rPr>
            </w:pPr>
            <w:r>
              <w:rPr>
                <w:rFonts w:hint="eastAsia"/>
                <w:b w:val="0"/>
                <w:bCs w:val="0"/>
                <w:u w:val="none"/>
              </w:rPr>
              <w:t>历史文化名镇、名村、传统村落</w:t>
            </w:r>
          </w:p>
          <w:p>
            <w:pPr>
              <w:pStyle w:val="61"/>
              <w:ind w:firstLine="480"/>
              <w:rPr>
                <w:rFonts w:hint="eastAsia"/>
                <w:b w:val="0"/>
                <w:bCs w:val="0"/>
                <w:u w:val="none"/>
              </w:rPr>
            </w:pPr>
            <w:r>
              <w:rPr>
                <w:rFonts w:hint="eastAsia"/>
                <w:b w:val="0"/>
                <w:bCs w:val="0"/>
                <w:u w:val="none"/>
              </w:rPr>
              <w:t>重点保护其传统格局、历史风貌、人文环境及其所依存的地形地貌、河湖水系等自然景观环境，注重整体保护。注重历史人文和自然环境的整体保护，保护各类历史文化遗存、生活文化特色和非物质文化遗产。保护村庄建筑肌理，控制建筑高度和尺度，保护与村庄布局紧密关联的农田、林地和水网，延续建筑与水网相互依存的格局形态和空间尺度。</w:t>
            </w:r>
          </w:p>
          <w:p>
            <w:pPr>
              <w:pStyle w:val="61"/>
              <w:numPr>
                <w:ilvl w:val="0"/>
                <w:numId w:val="11"/>
              </w:numPr>
              <w:ind w:firstLine="480"/>
              <w:rPr>
                <w:rFonts w:hint="eastAsia"/>
                <w:b w:val="0"/>
                <w:bCs w:val="0"/>
                <w:u w:val="none"/>
              </w:rPr>
            </w:pPr>
            <w:r>
              <w:rPr>
                <w:rFonts w:hint="eastAsia"/>
                <w:b w:val="0"/>
                <w:bCs w:val="0"/>
                <w:u w:val="none"/>
              </w:rPr>
              <w:t>历史文化街区</w:t>
            </w:r>
          </w:p>
          <w:p>
            <w:pPr>
              <w:pStyle w:val="61"/>
              <w:ind w:firstLine="480"/>
              <w:rPr>
                <w:rFonts w:hint="eastAsia"/>
                <w:b w:val="0"/>
                <w:bCs w:val="0"/>
                <w:u w:val="none"/>
              </w:rPr>
            </w:pPr>
            <w:r>
              <w:rPr>
                <w:rFonts w:hint="eastAsia"/>
                <w:b w:val="0"/>
                <w:bCs w:val="0"/>
                <w:u w:val="none"/>
              </w:rPr>
              <w:t>保护街区内历史文化遗产的真实性、保护传统风貌的完整性和保持街区生活功能的延续性。重点保护历史肌理、历史街巷、空间尺度和景观环境要素，整治不协调建筑和景观，延续历史风貌。</w:t>
            </w:r>
          </w:p>
          <w:p>
            <w:pPr>
              <w:pStyle w:val="61"/>
              <w:ind w:firstLine="480"/>
              <w:rPr>
                <w:rFonts w:hint="eastAsia"/>
                <w:b w:val="0"/>
                <w:bCs w:val="0"/>
                <w:u w:val="none"/>
              </w:rPr>
            </w:pPr>
            <w:r>
              <w:rPr>
                <w:rFonts w:hint="eastAsia"/>
                <w:b w:val="0"/>
                <w:bCs w:val="0"/>
                <w:u w:val="none"/>
              </w:rPr>
              <w:t>3</w:t>
            </w:r>
            <w:r>
              <w:rPr>
                <w:b w:val="0"/>
                <w:bCs w:val="0"/>
                <w:u w:val="none"/>
              </w:rPr>
              <w:t>.</w:t>
            </w:r>
            <w:r>
              <w:rPr>
                <w:rFonts w:hint="eastAsia"/>
                <w:b w:val="0"/>
                <w:bCs w:val="0"/>
                <w:u w:val="none"/>
              </w:rPr>
              <w:t>不可移动文物、历史建筑、改革开放历史性建筑</w:t>
            </w:r>
          </w:p>
          <w:p>
            <w:pPr>
              <w:pStyle w:val="61"/>
              <w:ind w:firstLine="480"/>
              <w:rPr>
                <w:rFonts w:hint="eastAsia"/>
                <w:b w:val="0"/>
                <w:bCs w:val="0"/>
                <w:u w:val="none"/>
              </w:rPr>
            </w:pPr>
            <w:r>
              <w:rPr>
                <w:rFonts w:hint="eastAsia"/>
                <w:b w:val="0"/>
                <w:bCs w:val="0"/>
                <w:u w:val="none"/>
              </w:rPr>
              <w:t>按照“保护第一、加强管理、挖掘价值、有效利用、让文物活起来”的新时代文物工作方针，加强文物保护利用。重点保护体现其核心价值的外观、结构和构件等，不得擅自迁移、拆除，及时加固修缮，消除安全隐患。改革开放历史性建筑重点保护其代表特区文化的建筑风格和特色风貌。</w:t>
            </w:r>
          </w:p>
          <w:p>
            <w:pPr>
              <w:pStyle w:val="61"/>
              <w:ind w:firstLine="480"/>
              <w:rPr>
                <w:rFonts w:hint="eastAsia"/>
                <w:b w:val="0"/>
                <w:bCs w:val="0"/>
                <w:u w:val="none"/>
              </w:rPr>
            </w:pPr>
            <w:r>
              <w:rPr>
                <w:rFonts w:hint="eastAsia"/>
                <w:b w:val="0"/>
                <w:bCs w:val="0"/>
                <w:u w:val="none"/>
              </w:rPr>
              <w:t>4</w:t>
            </w:r>
            <w:r>
              <w:rPr>
                <w:b w:val="0"/>
                <w:bCs w:val="0"/>
                <w:u w:val="none"/>
              </w:rPr>
              <w:t>.</w:t>
            </w:r>
            <w:r>
              <w:rPr>
                <w:rFonts w:hint="eastAsia"/>
                <w:b w:val="0"/>
                <w:bCs w:val="0"/>
                <w:u w:val="none"/>
              </w:rPr>
              <w:t>香山古驿道</w:t>
            </w:r>
          </w:p>
          <w:p>
            <w:pPr>
              <w:pStyle w:val="61"/>
              <w:ind w:firstLine="480"/>
              <w:rPr>
                <w:rFonts w:hint="eastAsia"/>
                <w:b w:val="0"/>
                <w:bCs w:val="0"/>
                <w:u w:val="none"/>
              </w:rPr>
            </w:pPr>
            <w:r>
              <w:rPr>
                <w:rFonts w:hint="eastAsia"/>
                <w:b w:val="0"/>
                <w:bCs w:val="0"/>
                <w:u w:val="none"/>
              </w:rPr>
              <w:t>重点保护线路的本体、走向、节点、历史地名和沿线遗址。</w:t>
            </w:r>
          </w:p>
          <w:p>
            <w:pPr>
              <w:pStyle w:val="61"/>
              <w:ind w:firstLine="480"/>
              <w:rPr>
                <w:rFonts w:hint="eastAsia"/>
                <w:b w:val="0"/>
                <w:bCs w:val="0"/>
                <w:u w:val="none"/>
              </w:rPr>
            </w:pPr>
            <w:r>
              <w:rPr>
                <w:rFonts w:hint="eastAsia"/>
                <w:b w:val="0"/>
                <w:bCs w:val="0"/>
                <w:u w:val="none"/>
              </w:rPr>
              <w:t>5.非物质文化遗产</w:t>
            </w:r>
          </w:p>
          <w:p>
            <w:pPr>
              <w:pStyle w:val="61"/>
              <w:ind w:firstLine="480"/>
              <w:rPr>
                <w:rFonts w:hint="eastAsia" w:ascii="宋体" w:hAnsi="Calibri" w:cs="宋体"/>
                <w:b w:val="0"/>
                <w:bCs w:val="0"/>
                <w:sz w:val="28"/>
                <w:u w:val="none"/>
              </w:rPr>
            </w:pPr>
            <w:r>
              <w:rPr>
                <w:rFonts w:hint="eastAsia" w:hAnsi="宋体"/>
                <w:b w:val="0"/>
                <w:bCs w:val="0"/>
                <w:u w:val="none"/>
              </w:rPr>
              <w:t>发掘、抢救和保护代表珠海地方文化的历史记忆、营造技艺、生活习俗等非物质文化遗产，实行分类保护。保护非物质文化遗产的活动空间和活动线路，鼓励非物质文化遗产展示空间与博物馆</w:t>
            </w:r>
            <w:r>
              <w:rPr>
                <w:rFonts w:hint="eastAsia" w:ascii="微软雅黑" w:hAnsi="微软雅黑" w:eastAsia="微软雅黑" w:cs="微软雅黑"/>
                <w:b w:val="0"/>
                <w:bCs w:val="0"/>
                <w:u w:val="none"/>
              </w:rPr>
              <w:t>､</w:t>
            </w:r>
            <w:r>
              <w:rPr>
                <w:rFonts w:hint="eastAsia" w:ascii="仿宋_GB2312" w:hAnsi="仿宋_GB2312" w:cs="仿宋_GB2312"/>
                <w:b w:val="0"/>
                <w:bCs w:val="0"/>
                <w:u w:val="none"/>
              </w:rPr>
              <w:t>社区公共空间</w:t>
            </w:r>
            <w:r>
              <w:rPr>
                <w:rFonts w:hint="eastAsia" w:ascii="微软雅黑" w:hAnsi="微软雅黑" w:eastAsia="微软雅黑" w:cs="微软雅黑"/>
                <w:b w:val="0"/>
                <w:bCs w:val="0"/>
                <w:u w:val="none"/>
              </w:rPr>
              <w:t>､</w:t>
            </w:r>
            <w:r>
              <w:rPr>
                <w:rFonts w:hint="eastAsia" w:ascii="仿宋_GB2312" w:hAnsi="仿宋_GB2312" w:cs="仿宋_GB2312"/>
                <w:b w:val="0"/>
                <w:bCs w:val="0"/>
                <w:u w:val="none"/>
              </w:rPr>
              <w:t>不可移动文化遗产点的</w:t>
            </w:r>
            <w:r>
              <w:rPr>
                <w:rFonts w:hint="eastAsia" w:hAnsi="宋体"/>
                <w:b w:val="0"/>
                <w:bCs w:val="0"/>
                <w:u w:val="none"/>
              </w:rPr>
              <w:t>结合。</w:t>
            </w:r>
          </w:p>
        </w:tc>
      </w:tr>
    </w:tbl>
    <w:p>
      <w:pPr>
        <w:ind w:firstLine="600"/>
        <w:rPr>
          <w:rFonts w:hint="eastAsia" w:ascii="仿宋_GB2312"/>
          <w:b w:val="0"/>
          <w:bCs w:val="0"/>
          <w:sz w:val="32"/>
          <w:szCs w:val="32"/>
          <w:u w:val="none"/>
        </w:rPr>
      </w:pPr>
      <w:r>
        <w:rPr>
          <w:rFonts w:hint="eastAsia" w:ascii="仿宋_GB2312" w:hAnsi="仿宋" w:cs="Times New Roman"/>
          <w:b w:val="0"/>
          <w:bCs w:val="0"/>
          <w:kern w:val="0"/>
          <w:sz w:val="32"/>
          <w:szCs w:val="32"/>
          <w:u w:val="none"/>
        </w:rPr>
        <w:t>加强对各类历史文化遗产的研究阐释和宣传推广，持续挖掘历史故事、文化价值、精神内涵，弘扬“解放思想、实事求是，敢闯敢试、勇于创新，互利合作、命运与共”的改革开放</w:t>
      </w:r>
      <w:r>
        <w:rPr>
          <w:rFonts w:hint="eastAsia"/>
          <w:b w:val="0"/>
          <w:bCs w:val="0"/>
          <w:sz w:val="32"/>
          <w:szCs w:val="32"/>
          <w:u w:val="none"/>
        </w:rPr>
        <w:t>精神</w:t>
      </w:r>
      <w:r>
        <w:rPr>
          <w:rFonts w:hint="eastAsia" w:ascii="仿宋_GB2312" w:hAnsi="仿宋" w:cs="Times New Roman"/>
          <w:b w:val="0"/>
          <w:bCs w:val="0"/>
          <w:kern w:val="0"/>
          <w:sz w:val="32"/>
          <w:szCs w:val="32"/>
          <w:u w:val="none"/>
        </w:rPr>
        <w:t>与“敢闯敢试、敢为人先、埋头苦干”的特区精神，不断赋予改革开放和特区建设新的时代内涵。</w:t>
      </w:r>
      <w:bookmarkEnd w:id="229"/>
      <w:bookmarkEnd w:id="230"/>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firstLine="600"/>
        <w:textAlignment w:val="auto"/>
        <w:rPr>
          <w:rFonts w:ascii="仿宋_GB2312"/>
          <w:b w:val="0"/>
          <w:bCs w:val="0"/>
          <w:sz w:val="32"/>
          <w:szCs w:val="32"/>
          <w:u w:val="none"/>
        </w:rPr>
      </w:pPr>
      <w:r>
        <w:rPr>
          <w:rFonts w:eastAsia="仿宋_GB2312" w:cs="黑体"/>
          <w:b w:val="0"/>
          <w:bCs w:val="0"/>
          <w:sz w:val="32"/>
          <w:szCs w:val="32"/>
          <w:u w:val="none"/>
        </w:rPr>
        <w:br w:type="page"/>
      </w:r>
      <w:bookmarkStart w:id="235" w:name="_Toc8477"/>
      <w:r>
        <w:rPr>
          <w:rFonts w:hint="eastAsia" w:ascii="方正小标宋简体" w:hAnsi="方正小标宋简体" w:eastAsia="方正小标宋简体" w:cs="方正小标宋简体"/>
          <w:b w:val="0"/>
          <w:bCs w:val="0"/>
          <w:sz w:val="44"/>
          <w:szCs w:val="44"/>
          <w:u w:val="none"/>
        </w:rPr>
        <w:t>综合交通</w:t>
      </w:r>
      <w:bookmarkEnd w:id="235"/>
    </w:p>
    <w:p>
      <w:pPr>
        <w:pStyle w:val="81"/>
        <w:keepNext w:val="0"/>
        <w:keepLines w:val="0"/>
        <w:pageBreakBefore w:val="0"/>
        <w:widowControl w:val="0"/>
        <w:numPr>
          <w:ilvl w:val="0"/>
          <w:numId w:val="12"/>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lang w:val="zh-CN"/>
        </w:rPr>
      </w:pPr>
      <w:bookmarkStart w:id="236" w:name="_Toc142402719"/>
      <w:bookmarkStart w:id="237" w:name="_Toc8948"/>
      <w:r>
        <w:rPr>
          <w:b w:val="0"/>
          <w:bCs w:val="0"/>
          <w:sz w:val="32"/>
          <w:szCs w:val="32"/>
          <w:u w:val="none"/>
          <w:lang w:val="zh-CN"/>
        </w:rPr>
        <w:t>对外交通体系</w:t>
      </w:r>
      <w:bookmarkEnd w:id="236"/>
      <w:bookmarkEnd w:id="237"/>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38" w:name="_Toc3160"/>
      <w:bookmarkStart w:id="239" w:name="_Toc138661936"/>
      <w:bookmarkStart w:id="240" w:name="_Toc142402720"/>
      <w:r>
        <w:rPr>
          <w:rFonts w:hint="eastAsia"/>
          <w:b w:val="0"/>
          <w:bCs w:val="0"/>
          <w:sz w:val="32"/>
          <w:szCs w:val="32"/>
          <w:u w:val="none"/>
        </w:rPr>
        <w:t>打造开通</w:t>
      </w:r>
      <w:r>
        <w:rPr>
          <w:rFonts w:hint="eastAsia"/>
          <w:b w:val="0"/>
          <w:bCs w:val="0"/>
          <w:sz w:val="32"/>
          <w:szCs w:val="32"/>
          <w:u w:val="none"/>
          <w:lang w:val="en-US"/>
        </w:rPr>
        <w:t>国际</w:t>
      </w:r>
      <w:r>
        <w:rPr>
          <w:rFonts w:hint="eastAsia"/>
          <w:b w:val="0"/>
          <w:bCs w:val="0"/>
          <w:sz w:val="32"/>
          <w:szCs w:val="32"/>
          <w:u w:val="none"/>
        </w:rPr>
        <w:t>航班的复合型区域枢纽机场</w:t>
      </w:r>
      <w:bookmarkEnd w:id="238"/>
      <w:bookmarkEnd w:id="239"/>
      <w:bookmarkEnd w:id="240"/>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cs="Times New Roman"/>
          <w:b w:val="0"/>
          <w:bCs w:val="0"/>
          <w:kern w:val="0"/>
          <w:sz w:val="32"/>
          <w:szCs w:val="32"/>
          <w:u w:val="none"/>
        </w:rPr>
      </w:pPr>
      <w:r>
        <w:rPr>
          <w:rFonts w:hint="eastAsia" w:ascii="仿宋_GB2312"/>
          <w:b w:val="0"/>
          <w:bCs w:val="0"/>
          <w:sz w:val="32"/>
          <w:szCs w:val="32"/>
          <w:u w:val="none"/>
        </w:rPr>
        <w:t>提升珠海金湾机场枢纽能级。加强与香港、澳门机场客运、物流合作，承担港澳机场的国内-国际中转功能，推动开通永久国际口岸和国际航线，提升珠海金湾</w:t>
      </w:r>
      <w:r>
        <w:rPr>
          <w:rFonts w:hint="eastAsia"/>
          <w:b w:val="0"/>
          <w:bCs w:val="0"/>
          <w:sz w:val="32"/>
          <w:szCs w:val="32"/>
          <w:u w:val="none"/>
        </w:rPr>
        <w:t>机场</w:t>
      </w:r>
      <w:r>
        <w:rPr>
          <w:rFonts w:hint="eastAsia" w:ascii="仿宋_GB2312"/>
          <w:b w:val="0"/>
          <w:bCs w:val="0"/>
          <w:sz w:val="32"/>
          <w:szCs w:val="32"/>
          <w:u w:val="none"/>
        </w:rPr>
        <w:t>国际化水平。规划</w:t>
      </w:r>
      <w:r>
        <w:rPr>
          <w:rFonts w:hint="eastAsia"/>
          <w:b w:val="0"/>
          <w:bCs w:val="0"/>
          <w:sz w:val="32"/>
          <w:szCs w:val="32"/>
          <w:u w:val="none"/>
        </w:rPr>
        <w:t>T2</w:t>
      </w:r>
      <w:r>
        <w:rPr>
          <w:rFonts w:hint="eastAsia" w:ascii="仿宋_GB2312"/>
          <w:b w:val="0"/>
          <w:bCs w:val="0"/>
          <w:sz w:val="32"/>
          <w:szCs w:val="32"/>
          <w:u w:val="none"/>
        </w:rPr>
        <w:t>航站楼、第二平行滑行道和第二跑道，战略预留新航站区和用海空间，完善机场基础设施。规划引入广佛江珠和珠机城际、城市轨道，完善机场高速公路、机场北路、机场东路、金海大桥、金港大桥等</w:t>
      </w:r>
      <w:r>
        <w:rPr>
          <w:rFonts w:hint="eastAsia"/>
          <w:b w:val="0"/>
          <w:bCs w:val="0"/>
          <w:sz w:val="32"/>
          <w:szCs w:val="32"/>
          <w:u w:val="none"/>
        </w:rPr>
        <w:t>5</w:t>
      </w:r>
      <w:r>
        <w:rPr>
          <w:rFonts w:hint="eastAsia" w:ascii="仿宋_GB2312"/>
          <w:b w:val="0"/>
          <w:bCs w:val="0"/>
          <w:sz w:val="32"/>
          <w:szCs w:val="32"/>
          <w:u w:val="none"/>
        </w:rPr>
        <w:t>条高快速通道，规划新增机场水上码头，完善机场集疏运体系，拓展珠海金湾机场腹地。</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cs="Times New Roman"/>
          <w:b w:val="0"/>
          <w:bCs w:val="0"/>
          <w:kern w:val="0"/>
          <w:sz w:val="32"/>
          <w:szCs w:val="32"/>
          <w:u w:val="none"/>
        </w:rPr>
      </w:pPr>
      <w:r>
        <w:rPr>
          <w:rFonts w:ascii="仿宋_GB2312" w:cs="Times New Roman"/>
          <w:b w:val="0"/>
          <w:bCs w:val="0"/>
          <w:kern w:val="0"/>
          <w:sz w:val="32"/>
          <w:szCs w:val="32"/>
          <w:u w:val="none"/>
        </w:rPr>
        <w:t>推</w:t>
      </w:r>
      <w:r>
        <w:rPr>
          <w:rFonts w:hint="eastAsia" w:ascii="仿宋_GB2312" w:cs="Times New Roman"/>
          <w:b w:val="0"/>
          <w:bCs w:val="0"/>
          <w:kern w:val="0"/>
          <w:sz w:val="32"/>
          <w:szCs w:val="32"/>
          <w:u w:val="none"/>
        </w:rPr>
        <w:t>进莲洲通用机场建设</w:t>
      </w:r>
      <w:r>
        <w:rPr>
          <w:rFonts w:ascii="仿宋_GB2312" w:cs="Times New Roman"/>
          <w:b w:val="0"/>
          <w:bCs w:val="0"/>
          <w:kern w:val="0"/>
          <w:sz w:val="32"/>
          <w:szCs w:val="32"/>
          <w:u w:val="none"/>
        </w:rPr>
        <w:t>。</w:t>
      </w:r>
      <w:r>
        <w:rPr>
          <w:rFonts w:hint="eastAsia" w:ascii="仿宋_GB2312" w:cs="Times New Roman"/>
          <w:b w:val="0"/>
          <w:bCs w:val="0"/>
          <w:kern w:val="0"/>
          <w:sz w:val="32"/>
          <w:szCs w:val="32"/>
          <w:u w:val="none"/>
        </w:rPr>
        <w:t>规划引入城际轨道，完善周边路网格局和产业配套，积极推进通用机场二期建设，全面激发珠海通用机场发展潜力。</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41" w:name="_Toc2401"/>
      <w:r>
        <w:rPr>
          <w:rFonts w:hint="eastAsia"/>
          <w:b w:val="0"/>
          <w:bCs w:val="0"/>
          <w:sz w:val="32"/>
          <w:szCs w:val="32"/>
          <w:u w:val="none"/>
        </w:rPr>
        <w:t>建设“一带一路”战略支点的区域枢纽港</w:t>
      </w:r>
      <w:bookmarkEnd w:id="241"/>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cs="Times New Roman"/>
          <w:b w:val="0"/>
          <w:bCs w:val="0"/>
          <w:kern w:val="0"/>
          <w:sz w:val="32"/>
          <w:szCs w:val="32"/>
          <w:u w:val="none"/>
        </w:rPr>
      </w:pPr>
      <w:r>
        <w:rPr>
          <w:rFonts w:hint="eastAsia" w:ascii="仿宋_GB2312" w:cs="Times New Roman"/>
          <w:b w:val="0"/>
          <w:bCs w:val="0"/>
          <w:kern w:val="0"/>
          <w:sz w:val="32"/>
          <w:szCs w:val="32"/>
          <w:u w:val="none"/>
        </w:rPr>
        <w:t>整合提升珠海港区功能。升级高栏港码头和航道，提升珠海核心港区设施能级，优化整合“一港七区”功能，强化区域竞争能力，打造集约枢纽型港口。规划高栏港区进港航道、黄茅海航道等</w:t>
      </w:r>
      <w:r>
        <w:rPr>
          <w:rFonts w:hint="eastAsia" w:cs="Times New Roman"/>
          <w:b w:val="0"/>
          <w:bCs w:val="0"/>
          <w:kern w:val="0"/>
          <w:sz w:val="32"/>
          <w:szCs w:val="32"/>
          <w:u w:val="none"/>
        </w:rPr>
        <w:t>25</w:t>
      </w:r>
      <w:r>
        <w:rPr>
          <w:rFonts w:hint="eastAsia" w:ascii="仿宋_GB2312" w:cs="Times New Roman"/>
          <w:b w:val="0"/>
          <w:bCs w:val="0"/>
          <w:kern w:val="0"/>
          <w:sz w:val="32"/>
          <w:szCs w:val="32"/>
          <w:u w:val="none"/>
        </w:rPr>
        <w:t>条沿海航道，航道等级包含</w:t>
      </w:r>
      <w:r>
        <w:rPr>
          <w:rFonts w:hint="eastAsia" w:cs="Times New Roman"/>
          <w:b w:val="0"/>
          <w:bCs w:val="0"/>
          <w:kern w:val="0"/>
          <w:sz w:val="32"/>
          <w:szCs w:val="32"/>
          <w:u w:val="none"/>
        </w:rPr>
        <w:t>1</w:t>
      </w:r>
      <w:r>
        <w:rPr>
          <w:rFonts w:hint="eastAsia" w:ascii="仿宋_GB2312" w:cs="Times New Roman"/>
          <w:b w:val="0"/>
          <w:bCs w:val="0"/>
          <w:kern w:val="0"/>
          <w:sz w:val="32"/>
          <w:szCs w:val="32"/>
          <w:u w:val="none"/>
        </w:rPr>
        <w:t>万吨级至</w:t>
      </w:r>
      <w:r>
        <w:rPr>
          <w:rFonts w:hint="eastAsia" w:cs="Times New Roman"/>
          <w:b w:val="0"/>
          <w:bCs w:val="0"/>
          <w:kern w:val="0"/>
          <w:sz w:val="32"/>
          <w:szCs w:val="32"/>
          <w:u w:val="none"/>
        </w:rPr>
        <w:t>30</w:t>
      </w:r>
      <w:r>
        <w:rPr>
          <w:rFonts w:hint="eastAsia" w:ascii="仿宋_GB2312" w:cs="Times New Roman"/>
          <w:b w:val="0"/>
          <w:bCs w:val="0"/>
          <w:kern w:val="0"/>
          <w:sz w:val="32"/>
          <w:szCs w:val="32"/>
          <w:u w:val="none"/>
        </w:rPr>
        <w:t>万吨级，航道总里程约</w:t>
      </w:r>
      <w:r>
        <w:rPr>
          <w:rFonts w:hint="eastAsia" w:cs="Times New Roman"/>
          <w:b w:val="0"/>
          <w:bCs w:val="0"/>
          <w:kern w:val="0"/>
          <w:sz w:val="32"/>
          <w:szCs w:val="32"/>
          <w:u w:val="none"/>
        </w:rPr>
        <w:t>584</w:t>
      </w:r>
      <w:r>
        <w:rPr>
          <w:rFonts w:hint="eastAsia" w:ascii="仿宋_GB2312" w:cs="Times New Roman"/>
          <w:b w:val="0"/>
          <w:bCs w:val="0"/>
          <w:kern w:val="0"/>
          <w:sz w:val="32"/>
          <w:szCs w:val="32"/>
          <w:u w:val="none"/>
        </w:rPr>
        <w:t>.</w:t>
      </w:r>
      <w:r>
        <w:rPr>
          <w:rFonts w:hint="eastAsia" w:cs="Times New Roman"/>
          <w:b w:val="0"/>
          <w:bCs w:val="0"/>
          <w:kern w:val="0"/>
          <w:sz w:val="32"/>
          <w:szCs w:val="32"/>
          <w:u w:val="none"/>
        </w:rPr>
        <w:t>6</w:t>
      </w:r>
      <w:r>
        <w:rPr>
          <w:rFonts w:hint="eastAsia" w:ascii="仿宋_GB2312" w:cs="Times New Roman"/>
          <w:b w:val="0"/>
          <w:bCs w:val="0"/>
          <w:kern w:val="0"/>
          <w:sz w:val="32"/>
          <w:szCs w:val="32"/>
          <w:u w:val="none"/>
        </w:rPr>
        <w:t>公里；内河规划崖门水道等主要航道</w:t>
      </w:r>
      <w:r>
        <w:rPr>
          <w:rFonts w:hint="eastAsia" w:cs="Times New Roman"/>
          <w:b w:val="0"/>
          <w:bCs w:val="0"/>
          <w:kern w:val="0"/>
          <w:sz w:val="32"/>
          <w:szCs w:val="32"/>
          <w:u w:val="none"/>
        </w:rPr>
        <w:t>6</w:t>
      </w:r>
      <w:r>
        <w:rPr>
          <w:rFonts w:hint="eastAsia" w:ascii="仿宋_GB2312" w:cs="Times New Roman"/>
          <w:b w:val="0"/>
          <w:bCs w:val="0"/>
          <w:kern w:val="0"/>
          <w:sz w:val="32"/>
          <w:szCs w:val="32"/>
          <w:u w:val="none"/>
        </w:rPr>
        <w:t>条、等级为</w:t>
      </w:r>
      <w:r>
        <w:rPr>
          <w:rFonts w:hint="eastAsia" w:cs="Times New Roman"/>
          <w:b w:val="0"/>
          <w:bCs w:val="0"/>
          <w:kern w:val="0"/>
          <w:sz w:val="32"/>
          <w:szCs w:val="32"/>
          <w:u w:val="none"/>
        </w:rPr>
        <w:t>I</w:t>
      </w:r>
      <w:r>
        <w:rPr>
          <w:rFonts w:hint="eastAsia" w:ascii="仿宋_GB2312" w:cs="Times New Roman"/>
          <w:b w:val="0"/>
          <w:bCs w:val="0"/>
          <w:kern w:val="0"/>
          <w:sz w:val="32"/>
          <w:szCs w:val="32"/>
          <w:u w:val="none"/>
        </w:rPr>
        <w:t>级至</w:t>
      </w:r>
      <w:r>
        <w:rPr>
          <w:rFonts w:hint="eastAsia" w:cs="Times New Roman"/>
          <w:b w:val="0"/>
          <w:bCs w:val="0"/>
          <w:kern w:val="0"/>
          <w:sz w:val="32"/>
          <w:szCs w:val="32"/>
          <w:u w:val="none"/>
        </w:rPr>
        <w:t>III</w:t>
      </w:r>
      <w:r>
        <w:rPr>
          <w:rFonts w:hint="eastAsia" w:ascii="仿宋_GB2312" w:cs="Times New Roman"/>
          <w:b w:val="0"/>
          <w:bCs w:val="0"/>
          <w:kern w:val="0"/>
          <w:sz w:val="32"/>
          <w:szCs w:val="32"/>
          <w:u w:val="none"/>
        </w:rPr>
        <w:t>级航道，白藤河等重要航道</w:t>
      </w:r>
      <w:r>
        <w:rPr>
          <w:rFonts w:hint="eastAsia" w:cs="Times New Roman"/>
          <w:b w:val="0"/>
          <w:bCs w:val="0"/>
          <w:kern w:val="0"/>
          <w:sz w:val="32"/>
          <w:szCs w:val="32"/>
          <w:u w:val="none"/>
        </w:rPr>
        <w:t>4</w:t>
      </w:r>
      <w:r>
        <w:rPr>
          <w:rFonts w:hint="eastAsia" w:ascii="仿宋_GB2312" w:cs="Times New Roman"/>
          <w:b w:val="0"/>
          <w:bCs w:val="0"/>
          <w:kern w:val="0"/>
          <w:sz w:val="32"/>
          <w:szCs w:val="32"/>
          <w:u w:val="none"/>
        </w:rPr>
        <w:t>条、等级为</w:t>
      </w:r>
      <w:r>
        <w:rPr>
          <w:rFonts w:hint="eastAsia" w:cs="Times New Roman"/>
          <w:b w:val="0"/>
          <w:bCs w:val="0"/>
          <w:kern w:val="0"/>
          <w:sz w:val="32"/>
          <w:szCs w:val="32"/>
          <w:u w:val="none"/>
        </w:rPr>
        <w:t>III</w:t>
      </w:r>
      <w:r>
        <w:rPr>
          <w:rFonts w:hint="eastAsia" w:ascii="仿宋_GB2312" w:cs="Times New Roman"/>
          <w:b w:val="0"/>
          <w:bCs w:val="0"/>
          <w:kern w:val="0"/>
          <w:sz w:val="32"/>
          <w:szCs w:val="32"/>
          <w:u w:val="none"/>
        </w:rPr>
        <w:t>级航道，其他一般航道等级为</w:t>
      </w:r>
      <w:r>
        <w:rPr>
          <w:rFonts w:hint="eastAsia" w:cs="Times New Roman"/>
          <w:b w:val="0"/>
          <w:bCs w:val="0"/>
          <w:kern w:val="0"/>
          <w:sz w:val="32"/>
          <w:szCs w:val="32"/>
          <w:u w:val="none"/>
        </w:rPr>
        <w:t>IV</w:t>
      </w:r>
      <w:r>
        <w:rPr>
          <w:rFonts w:hint="eastAsia" w:ascii="仿宋_GB2312" w:cs="Times New Roman"/>
          <w:b w:val="0"/>
          <w:bCs w:val="0"/>
          <w:kern w:val="0"/>
          <w:sz w:val="32"/>
          <w:szCs w:val="32"/>
          <w:u w:val="none"/>
        </w:rPr>
        <w:t>至</w:t>
      </w:r>
      <w:r>
        <w:rPr>
          <w:rFonts w:hint="eastAsia" w:cs="Times New Roman"/>
          <w:b w:val="0"/>
          <w:bCs w:val="0"/>
          <w:kern w:val="0"/>
          <w:sz w:val="32"/>
          <w:szCs w:val="32"/>
          <w:u w:val="none"/>
        </w:rPr>
        <w:t>VII</w:t>
      </w:r>
      <w:r>
        <w:rPr>
          <w:rFonts w:hint="eastAsia" w:ascii="仿宋_GB2312" w:cs="Times New Roman"/>
          <w:b w:val="0"/>
          <w:bCs w:val="0"/>
          <w:kern w:val="0"/>
          <w:sz w:val="32"/>
          <w:szCs w:val="32"/>
          <w:u w:val="none"/>
        </w:rPr>
        <w:t>级。打通“川贵广-南亚国际物流大通道”，推进与瓜达尔港战略合作，打造广东省连接南亚、东南亚、拉美等地区的区域性国际航运服务中心。</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cs="Times New Roman"/>
          <w:b w:val="0"/>
          <w:bCs w:val="0"/>
          <w:kern w:val="0"/>
          <w:sz w:val="32"/>
          <w:szCs w:val="32"/>
          <w:u w:val="none"/>
        </w:rPr>
      </w:pPr>
      <w:r>
        <w:rPr>
          <w:rFonts w:hint="eastAsia" w:ascii="仿宋_GB2312" w:cs="Times New Roman"/>
          <w:b w:val="0"/>
          <w:bCs w:val="0"/>
          <w:kern w:val="0"/>
          <w:sz w:val="32"/>
          <w:szCs w:val="32"/>
          <w:u w:val="none"/>
        </w:rPr>
        <w:t>完善港区集疏运体系。立足散货港、喂给港，整合大宗货运站场，深化区域港航物流合作，重点发展内河航运、短途海运，拓展江海联运腹地，加快形成高栏港区综合物流网络。以高栏港为核心，提升既有广珠货运铁路功能，强化海铁联运效能，依托高栏港高速公路、鹤港高速公路和高栏港快线等</w:t>
      </w:r>
      <w:r>
        <w:rPr>
          <w:rFonts w:hint="eastAsia" w:cs="Times New Roman"/>
          <w:b w:val="0"/>
          <w:bCs w:val="0"/>
          <w:kern w:val="0"/>
          <w:sz w:val="32"/>
          <w:szCs w:val="32"/>
          <w:u w:val="none"/>
        </w:rPr>
        <w:t>3</w:t>
      </w:r>
      <w:r>
        <w:rPr>
          <w:rFonts w:hint="eastAsia" w:ascii="仿宋_GB2312" w:cs="Times New Roman"/>
          <w:b w:val="0"/>
          <w:bCs w:val="0"/>
          <w:kern w:val="0"/>
          <w:sz w:val="32"/>
          <w:szCs w:val="32"/>
          <w:u w:val="none"/>
        </w:rPr>
        <w:t>条高快速路，构建完善的集疏运体系，拓展陆域腹地范围。</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cs="Times New Roman"/>
          <w:b w:val="0"/>
          <w:bCs w:val="0"/>
          <w:kern w:val="0"/>
          <w:sz w:val="32"/>
          <w:szCs w:val="32"/>
          <w:u w:val="none"/>
        </w:rPr>
      </w:pPr>
      <w:r>
        <w:rPr>
          <w:rFonts w:hint="eastAsia" w:ascii="仿宋_GB2312" w:cs="Times New Roman"/>
          <w:b w:val="0"/>
          <w:bCs w:val="0"/>
          <w:kern w:val="0"/>
          <w:sz w:val="32"/>
          <w:szCs w:val="32"/>
          <w:u w:val="none"/>
        </w:rPr>
        <w:t>谋划万山超级枢纽港。结合万山港区位和资源优势，远期谋划由粤港澳共同开发的万山超级枢纽港，并预留珠海陆侧至枢纽港的衔接通道，积极对接万山超级枢纽港。</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42" w:name="_Toc5334"/>
      <w:bookmarkStart w:id="243" w:name="_Toc142402721"/>
      <w:r>
        <w:rPr>
          <w:rFonts w:hint="eastAsia"/>
          <w:b w:val="0"/>
          <w:bCs w:val="0"/>
          <w:sz w:val="32"/>
          <w:szCs w:val="32"/>
          <w:u w:val="none"/>
        </w:rPr>
        <w:t>协同澳门融入国家高铁网络</w:t>
      </w:r>
      <w:bookmarkEnd w:id="242"/>
      <w:bookmarkEnd w:id="243"/>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cs="Times New Roman"/>
          <w:b w:val="0"/>
          <w:bCs w:val="0"/>
          <w:kern w:val="0"/>
          <w:sz w:val="32"/>
          <w:szCs w:val="32"/>
          <w:u w:val="none"/>
        </w:rPr>
      </w:pPr>
      <w:r>
        <w:rPr>
          <w:rFonts w:hint="eastAsia" w:ascii="仿宋_GB2312" w:cs="Times New Roman"/>
          <w:b w:val="0"/>
          <w:bCs w:val="0"/>
          <w:kern w:val="0"/>
          <w:sz w:val="32"/>
          <w:szCs w:val="32"/>
          <w:u w:val="none"/>
        </w:rPr>
        <w:t>打造珠江口西岸轨道交通中心。往北规划布局珠肇、广珠（澳）两条高铁，通过广珠（澳）高铁接入横琴联系澳门，协同澳门融入国家高铁网络并共建澳珠极点城市；往东规划布局深珠铁路（伶仃洋通道），往西规划预留珠海至阳江高铁，形成“东西贯通、南北始发、互联互通”的“五指状”铁路布局体系。</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cs="Times New Roman"/>
          <w:b w:val="0"/>
          <w:bCs w:val="0"/>
          <w:kern w:val="0"/>
          <w:sz w:val="32"/>
          <w:szCs w:val="32"/>
          <w:u w:val="none"/>
        </w:rPr>
      </w:pPr>
      <w:r>
        <w:rPr>
          <w:rFonts w:hint="eastAsia" w:ascii="仿宋_GB2312" w:cs="Times New Roman"/>
          <w:b w:val="0"/>
          <w:bCs w:val="0"/>
          <w:kern w:val="0"/>
          <w:sz w:val="32"/>
          <w:szCs w:val="32"/>
          <w:u w:val="none"/>
        </w:rPr>
        <w:t>构建铁路客运枢纽体系。规划以珠海中心站（鹤洲）为主要枢纽，与湾区重大科创区域直连直通，成为广珠澳科创走廊核心平台，珠海站、横琴站、珠海北站、金湾枢纽为辅助枢纽，形成布局均衡、功能清晰的“一主四辅”铁路客运枢纽体系。</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44" w:name="_Toc142402722"/>
      <w:bookmarkStart w:id="245" w:name="_Toc8252"/>
      <w:r>
        <w:rPr>
          <w:rFonts w:hint="eastAsia"/>
          <w:b w:val="0"/>
          <w:bCs w:val="0"/>
          <w:sz w:val="32"/>
          <w:szCs w:val="32"/>
          <w:u w:val="none"/>
        </w:rPr>
        <w:t>共建直连</w:t>
      </w:r>
      <w:r>
        <w:rPr>
          <w:rFonts w:hint="eastAsia"/>
          <w:b w:val="0"/>
          <w:bCs w:val="0"/>
          <w:sz w:val="32"/>
          <w:szCs w:val="32"/>
          <w:u w:val="none"/>
          <w:lang w:val="en-US"/>
        </w:rPr>
        <w:t>直通</w:t>
      </w:r>
      <w:r>
        <w:rPr>
          <w:rFonts w:hint="eastAsia"/>
          <w:b w:val="0"/>
          <w:bCs w:val="0"/>
          <w:sz w:val="32"/>
          <w:szCs w:val="32"/>
          <w:u w:val="none"/>
        </w:rPr>
        <w:t>的湾区交通网络</w:t>
      </w:r>
      <w:bookmarkEnd w:id="244"/>
      <w:bookmarkEnd w:id="245"/>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构建快速联系湾区的城际轨道交通网络。规划布局广佛江珠城际、南珠（中）城际、深珠铁路（伶仃洋通道）、珠斗城际等铁路，预留珠中西线城际铁路通道。通过拱北口岸、横琴口岸直接联系澳门，加强澳珠极点与广佛、港深及湾区其他核心城市的联系。</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cs="Times New Roman"/>
          <w:b w:val="0"/>
          <w:bCs w:val="0"/>
          <w:sz w:val="32"/>
          <w:szCs w:val="32"/>
          <w:u w:val="none"/>
        </w:rPr>
      </w:pPr>
      <w:r>
        <w:rPr>
          <w:rFonts w:hint="eastAsia" w:ascii="仿宋_GB2312" w:hAnsi="仿宋" w:cs="Times New Roman"/>
          <w:b w:val="0"/>
          <w:bCs w:val="0"/>
          <w:kern w:val="0"/>
          <w:sz w:val="32"/>
          <w:szCs w:val="32"/>
          <w:u w:val="none"/>
        </w:rPr>
        <w:t>用好管好港珠澳大桥。提升大桥服务水平，完善大桥交通衔接设施，为“港车北上”“澳车北上”提供便捷、高效的服务，建设港珠澳大桥经贸新通道。高标准打造对接深中通道、港珠澳大桥的两条战略通道，强化港深对珠海的城市和产业辐射带动作用，详见专栏</w:t>
      </w:r>
      <w:r>
        <w:rPr>
          <w:rFonts w:hint="eastAsia" w:cs="Times New Roman"/>
          <w:b w:val="0"/>
          <w:bCs w:val="0"/>
          <w:kern w:val="0"/>
          <w:sz w:val="32"/>
          <w:szCs w:val="32"/>
          <w:u w:val="none"/>
        </w:rPr>
        <w:t>1</w:t>
      </w:r>
      <w:r>
        <w:rPr>
          <w:rFonts w:cs="Times New Roman"/>
          <w:b w:val="0"/>
          <w:bCs w:val="0"/>
          <w:kern w:val="0"/>
          <w:sz w:val="32"/>
          <w:szCs w:val="32"/>
          <w:u w:val="none"/>
        </w:rPr>
        <w:t>0</w:t>
      </w:r>
      <w:r>
        <w:rPr>
          <w:rFonts w:ascii="仿宋_GB2312" w:hAnsi="仿宋" w:cs="Times New Roman"/>
          <w:b w:val="0"/>
          <w:bCs w:val="0"/>
          <w:kern w:val="0"/>
          <w:sz w:val="32"/>
          <w:szCs w:val="32"/>
          <w:u w:val="none"/>
        </w:rPr>
        <w:t>-</w:t>
      </w:r>
      <w:r>
        <w:rPr>
          <w:rFonts w:cs="Times New Roman"/>
          <w:b w:val="0"/>
          <w:bCs w:val="0"/>
          <w:kern w:val="0"/>
          <w:sz w:val="32"/>
          <w:szCs w:val="32"/>
          <w:u w:val="none"/>
        </w:rPr>
        <w:t>1</w:t>
      </w:r>
      <w:r>
        <w:rPr>
          <w:rFonts w:hint="eastAsia" w:ascii="仿宋_GB2312" w:hAnsi="仿宋" w:cs="Times New Roman"/>
          <w:b w:val="0"/>
          <w:bCs w:val="0"/>
          <w:kern w:val="0"/>
          <w:sz w:val="32"/>
          <w:szCs w:val="32"/>
          <w:u w:val="none"/>
        </w:rPr>
        <w:t>。</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1"/>
        <w:gridCol w:w="6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6" w:type="dxa"/>
            <w:gridSpan w:val="2"/>
            <w:shd w:val="clear" w:color="auto" w:fill="D9D9D9"/>
            <w:noWrap w:val="0"/>
            <w:vAlign w:val="center"/>
          </w:tcPr>
          <w:p>
            <w:pPr>
              <w:spacing w:before="46" w:after="46"/>
              <w:ind w:firstLine="0" w:firstLineChars="0"/>
              <w:jc w:val="center"/>
              <w:rPr>
                <w:rFonts w:hint="eastAsia" w:eastAsia="黑体" w:cs="Times New Roman"/>
                <w:b w:val="0"/>
                <w:bCs w:val="0"/>
                <w:kern w:val="0"/>
                <w:u w:val="none"/>
              </w:rPr>
            </w:pPr>
            <w:r>
              <w:rPr>
                <w:rFonts w:hint="eastAsia" w:eastAsia="黑体" w:cs="Times New Roman"/>
                <w:b w:val="0"/>
                <w:bCs w:val="0"/>
                <w:kern w:val="0"/>
                <w:u w:val="none"/>
              </w:rPr>
              <w:t>专栏1</w:t>
            </w:r>
            <w:r>
              <w:rPr>
                <w:rFonts w:eastAsia="黑体" w:cs="Times New Roman"/>
                <w:b w:val="0"/>
                <w:bCs w:val="0"/>
                <w:kern w:val="0"/>
                <w:u w:val="none"/>
              </w:rPr>
              <w:t>0-1</w:t>
            </w:r>
            <w:r>
              <w:rPr>
                <w:rFonts w:hint="eastAsia" w:eastAsia="黑体" w:cs="Times New Roman"/>
                <w:b w:val="0"/>
                <w:bCs w:val="0"/>
                <w:kern w:val="0"/>
                <w:u w:val="none"/>
              </w:rPr>
              <w:t>：战略通道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11" w:type="dxa"/>
            <w:noWrap w:val="0"/>
            <w:vAlign w:val="center"/>
          </w:tcPr>
          <w:p>
            <w:pPr>
              <w:pStyle w:val="8"/>
              <w:rPr>
                <w:b w:val="0"/>
                <w:bCs w:val="0"/>
                <w:u w:val="none"/>
              </w:rPr>
            </w:pPr>
            <w:r>
              <w:rPr>
                <w:rFonts w:hint="eastAsia"/>
                <w:b w:val="0"/>
                <w:bCs w:val="0"/>
                <w:u w:val="none"/>
              </w:rPr>
              <w:t>战略通道</w:t>
            </w:r>
          </w:p>
        </w:tc>
        <w:tc>
          <w:tcPr>
            <w:tcW w:w="6175" w:type="dxa"/>
            <w:noWrap w:val="0"/>
            <w:vAlign w:val="center"/>
          </w:tcPr>
          <w:p>
            <w:pPr>
              <w:pStyle w:val="8"/>
              <w:rPr>
                <w:b w:val="0"/>
                <w:bCs w:val="0"/>
                <w:u w:val="none"/>
              </w:rPr>
            </w:pPr>
            <w:r>
              <w:rPr>
                <w:rFonts w:hint="eastAsia"/>
                <w:b w:val="0"/>
                <w:bCs w:val="0"/>
                <w:u w:val="none"/>
              </w:rPr>
              <w:t>具体路径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11" w:type="dxa"/>
            <w:noWrap w:val="0"/>
            <w:vAlign w:val="center"/>
          </w:tcPr>
          <w:p>
            <w:pPr>
              <w:pStyle w:val="8"/>
              <w:rPr>
                <w:b w:val="0"/>
                <w:bCs w:val="0"/>
                <w:u w:val="none"/>
              </w:rPr>
            </w:pPr>
            <w:r>
              <w:rPr>
                <w:rFonts w:hint="eastAsia"/>
                <w:b w:val="0"/>
                <w:bCs w:val="0"/>
                <w:u w:val="none"/>
              </w:rPr>
              <w:t>对接深中通道的战略通道</w:t>
            </w:r>
          </w:p>
        </w:tc>
        <w:tc>
          <w:tcPr>
            <w:tcW w:w="6175" w:type="dxa"/>
            <w:noWrap w:val="0"/>
            <w:vAlign w:val="center"/>
          </w:tcPr>
          <w:p>
            <w:pPr>
              <w:pStyle w:val="8"/>
              <w:rPr>
                <w:b w:val="0"/>
                <w:bCs w:val="0"/>
                <w:u w:val="none"/>
              </w:rPr>
            </w:pPr>
            <w:r>
              <w:rPr>
                <w:rFonts w:hint="eastAsia"/>
                <w:b w:val="0"/>
                <w:bCs w:val="0"/>
                <w:u w:val="none"/>
              </w:rPr>
              <w:t>深中通道、中山东外环高速公路、金琴快线、港湾大道、兴业快线、九洲大道、珠海大道、机场东路、富蕉大道、珠峰大道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11" w:type="dxa"/>
            <w:noWrap w:val="0"/>
            <w:vAlign w:val="center"/>
          </w:tcPr>
          <w:p>
            <w:pPr>
              <w:pStyle w:val="8"/>
              <w:rPr>
                <w:b w:val="0"/>
                <w:bCs w:val="0"/>
                <w:u w:val="none"/>
              </w:rPr>
            </w:pPr>
            <w:r>
              <w:rPr>
                <w:rFonts w:hint="eastAsia"/>
                <w:b w:val="0"/>
                <w:bCs w:val="0"/>
                <w:u w:val="none"/>
              </w:rPr>
              <w:t>对接港珠澳大桥的战略通道</w:t>
            </w:r>
          </w:p>
        </w:tc>
        <w:tc>
          <w:tcPr>
            <w:tcW w:w="6175" w:type="dxa"/>
            <w:noWrap w:val="0"/>
            <w:vAlign w:val="center"/>
          </w:tcPr>
          <w:p>
            <w:pPr>
              <w:pStyle w:val="8"/>
              <w:rPr>
                <w:b w:val="0"/>
                <w:bCs w:val="0"/>
                <w:u w:val="none"/>
              </w:rPr>
            </w:pPr>
            <w:r>
              <w:rPr>
                <w:rFonts w:hint="eastAsia"/>
                <w:b w:val="0"/>
                <w:bCs w:val="0"/>
                <w:u w:val="none"/>
              </w:rPr>
              <w:t>港珠澳大桥及其西延线、洪鹤大桥、鹤港高速</w:t>
            </w:r>
          </w:p>
        </w:tc>
      </w:tr>
    </w:tbl>
    <w:p>
      <w:pPr>
        <w:ind w:firstLine="602"/>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加强区域高速和快速路网联系。规划形成港珠澳大桥、深珠铁路（伶仃洋通道）、深中通道、黄茅海</w:t>
      </w:r>
      <w:r>
        <w:rPr>
          <w:rFonts w:hint="eastAsia"/>
          <w:b w:val="0"/>
          <w:bCs w:val="0"/>
          <w:sz w:val="32"/>
          <w:szCs w:val="32"/>
          <w:u w:val="none"/>
        </w:rPr>
        <w:t>通道</w:t>
      </w:r>
      <w:r>
        <w:rPr>
          <w:rFonts w:hint="eastAsia" w:ascii="仿宋_GB2312" w:hAnsi="仿宋" w:cs="Times New Roman"/>
          <w:b w:val="0"/>
          <w:bCs w:val="0"/>
          <w:kern w:val="0"/>
          <w:sz w:val="32"/>
          <w:szCs w:val="32"/>
          <w:u w:val="none"/>
        </w:rPr>
        <w:t>等四桥和十一条对外高速公路的“圈层+放射”区域通道格局，强化与湾区核心城市的直连直通，实现与湾区核心城市</w:t>
      </w:r>
      <w:r>
        <w:rPr>
          <w:rFonts w:hint="eastAsia" w:cs="Times New Roman"/>
          <w:b w:val="0"/>
          <w:bCs w:val="0"/>
          <w:kern w:val="0"/>
          <w:sz w:val="32"/>
          <w:szCs w:val="32"/>
          <w:u w:val="none"/>
        </w:rPr>
        <w:t>1</w:t>
      </w:r>
      <w:r>
        <w:rPr>
          <w:rFonts w:hint="eastAsia" w:ascii="仿宋_GB2312" w:hAnsi="仿宋" w:cs="Times New Roman"/>
          <w:b w:val="0"/>
          <w:bCs w:val="0"/>
          <w:kern w:val="0"/>
          <w:sz w:val="32"/>
          <w:szCs w:val="32"/>
          <w:u w:val="none"/>
        </w:rPr>
        <w:t>小时互达目标，并加强向粤西的辐射。</w:t>
      </w:r>
    </w:p>
    <w:p>
      <w:pPr>
        <w:ind w:firstLine="602"/>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构建便捷高效的湾区水上交通。完善九洲港、横琴码头、唐家港等客运码头和配套交通设施布局，加强港城交通一体化开发；优化与湾区东岸快速直达航线，提升水上交通效率，推动湾区互联互通。</w:t>
      </w:r>
    </w:p>
    <w:p>
      <w:pPr>
        <w:pStyle w:val="85"/>
        <w:spacing w:before="292" w:after="292"/>
        <w:ind w:left="198" w:leftChars="0" w:firstLineChars="0"/>
        <w:rPr>
          <w:rFonts w:hint="eastAsia"/>
          <w:b w:val="0"/>
          <w:bCs w:val="0"/>
          <w:sz w:val="32"/>
          <w:szCs w:val="32"/>
          <w:u w:val="none"/>
          <w:lang w:val="en-US"/>
        </w:rPr>
      </w:pPr>
      <w:bookmarkStart w:id="246" w:name="_Toc5227"/>
      <w:bookmarkStart w:id="247" w:name="_Toc142402723"/>
      <w:r>
        <w:rPr>
          <w:rFonts w:hint="eastAsia"/>
          <w:b w:val="0"/>
          <w:bCs w:val="0"/>
          <w:sz w:val="32"/>
          <w:szCs w:val="32"/>
          <w:u w:val="none"/>
        </w:rPr>
        <w:t>建立布局合理的口岸交通体系</w:t>
      </w:r>
      <w:bookmarkEnd w:id="246"/>
      <w:bookmarkEnd w:id="247"/>
    </w:p>
    <w:p>
      <w:pPr>
        <w:ind w:firstLine="602"/>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完善口岸总体布局。完善口岸总体布局。规划形成“一带三轴、两域、多点”的口岸群格局，包含一类口岸7处（现状6处），重点新增珠海金湾机场口岸，规划预留横琴通道口岸。依托港珠澳大桥珠海公路口岸服务港澳，依托拱北口岸、湾仔口岸、青茂口岸、横琴口岸、珠澳跨境工业区专用口岸对接澳门，依托珠海金湾机场口岸、高栏港口岸联通国际。</w:t>
      </w:r>
    </w:p>
    <w:p>
      <w:pPr>
        <w:ind w:firstLine="602"/>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完善口岸交通集疏运体系。规划接入城际轨道、</w:t>
      </w:r>
      <w:r>
        <w:rPr>
          <w:rFonts w:hint="eastAsia"/>
          <w:b w:val="0"/>
          <w:bCs w:val="0"/>
          <w:sz w:val="32"/>
          <w:szCs w:val="32"/>
          <w:u w:val="none"/>
        </w:rPr>
        <w:t>城市</w:t>
      </w:r>
      <w:r>
        <w:rPr>
          <w:rFonts w:hint="eastAsia" w:ascii="仿宋_GB2312" w:hAnsi="仿宋" w:cs="Times New Roman"/>
          <w:b w:val="0"/>
          <w:bCs w:val="0"/>
          <w:kern w:val="0"/>
          <w:sz w:val="32"/>
          <w:szCs w:val="32"/>
          <w:u w:val="none"/>
        </w:rPr>
        <w:t>轨道、高快速路网，完善微循环路网衔接，打造多层</w:t>
      </w:r>
      <w:r>
        <w:rPr>
          <w:rFonts w:ascii="仿宋_GB2312" w:hAnsi="仿宋" w:cs="Times New Roman"/>
          <w:b w:val="0"/>
          <w:bCs w:val="0"/>
          <w:kern w:val="0"/>
          <w:sz w:val="32"/>
          <w:szCs w:val="32"/>
          <w:u w:val="none"/>
        </w:rPr>
        <w:t>级</w:t>
      </w:r>
      <w:r>
        <w:rPr>
          <w:rFonts w:hint="eastAsia" w:ascii="仿宋_GB2312" w:hAnsi="仿宋" w:cs="Times New Roman"/>
          <w:b w:val="0"/>
          <w:bCs w:val="0"/>
          <w:kern w:val="0"/>
          <w:sz w:val="32"/>
          <w:szCs w:val="32"/>
          <w:u w:val="none"/>
        </w:rPr>
        <w:t>一体化的</w:t>
      </w:r>
      <w:r>
        <w:rPr>
          <w:rFonts w:hint="eastAsia" w:ascii="仿宋_GB2312" w:hAnsi="仿宋" w:cs="Times New Roman"/>
          <w:b w:val="0"/>
          <w:bCs w:val="0"/>
          <w:spacing w:val="-6"/>
          <w:kern w:val="0"/>
          <w:sz w:val="32"/>
          <w:szCs w:val="32"/>
          <w:u w:val="none"/>
        </w:rPr>
        <w:t>集疏运系统，提升口岸交通衔接效率，缓解口岸片区交通压力。</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优化整合口岸功能。均衡发展珠海各陆路口岸，推进拱北口岸旅客分流，提高青茂口岸、港珠澳大桥珠海公路口岸和横琴口岸通关人数比例。将跨境陆路货运通关口岸安排于城市外围的港珠澳大桥珠海公路口岸和横琴口岸，实现珠澳间货运</w:t>
      </w:r>
      <w:r>
        <w:rPr>
          <w:rFonts w:hint="eastAsia" w:ascii="仿宋_GB2312" w:hAnsi="仿宋" w:cs="Times New Roman"/>
          <w:b w:val="0"/>
          <w:bCs w:val="0"/>
          <w:spacing w:val="-6"/>
          <w:kern w:val="0"/>
          <w:sz w:val="32"/>
          <w:szCs w:val="32"/>
          <w:u w:val="none"/>
        </w:rPr>
        <w:t>“北进北出、南进南出”的跨境交通格局。优化珠海东、西部水运口岸的协同发展，推动对市区影响较大的物流资源逐步西移。</w:t>
      </w:r>
    </w:p>
    <w:p>
      <w:pPr>
        <w:pStyle w:val="81"/>
        <w:keepNext w:val="0"/>
        <w:keepLines w:val="0"/>
        <w:pageBreakBefore w:val="0"/>
        <w:widowControl w:val="0"/>
        <w:kinsoku/>
        <w:wordWrap/>
        <w:overflowPunct/>
        <w:topLinePunct w:val="0"/>
        <w:autoSpaceDE/>
        <w:autoSpaceDN/>
        <w:bidi w:val="0"/>
        <w:adjustRightInd/>
        <w:snapToGrid/>
        <w:spacing w:before="470" w:beforeLines="80" w:after="470" w:afterLines="80" w:line="579" w:lineRule="exact"/>
        <w:ind w:firstLine="403"/>
        <w:textAlignment w:val="auto"/>
        <w:rPr>
          <w:rFonts w:hint="eastAsia"/>
          <w:b w:val="0"/>
          <w:bCs w:val="0"/>
          <w:sz w:val="32"/>
          <w:szCs w:val="32"/>
          <w:u w:val="none"/>
          <w:lang w:val="zh-CN"/>
        </w:rPr>
      </w:pPr>
      <w:bookmarkStart w:id="248" w:name="_Toc142402724"/>
      <w:bookmarkStart w:id="249" w:name="_Toc21925"/>
      <w:r>
        <w:rPr>
          <w:b w:val="0"/>
          <w:bCs w:val="0"/>
          <w:sz w:val="32"/>
          <w:szCs w:val="32"/>
          <w:u w:val="none"/>
          <w:lang w:val="zh-CN"/>
        </w:rPr>
        <w:t>城市交通体系</w:t>
      </w:r>
      <w:bookmarkEnd w:id="248"/>
      <w:bookmarkEnd w:id="249"/>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50" w:name="_Toc142402725"/>
      <w:bookmarkStart w:id="251" w:name="_Toc21976"/>
      <w:r>
        <w:rPr>
          <w:rFonts w:hint="eastAsia"/>
          <w:b w:val="0"/>
          <w:bCs w:val="0"/>
          <w:sz w:val="32"/>
          <w:szCs w:val="32"/>
          <w:u w:val="none"/>
        </w:rPr>
        <w:t>创建模式多元、集约高效的公交都市</w:t>
      </w:r>
      <w:bookmarkEnd w:id="250"/>
      <w:bookmarkEnd w:id="251"/>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构建多元化城市公共交通体系。规划形成“以轨道交通为骨干、常规公交为主体、其他辅助公交为补充”的多元公共交通系统。</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cs="Times New Roman"/>
          <w:b w:val="0"/>
          <w:bCs w:val="0"/>
          <w:sz w:val="32"/>
          <w:szCs w:val="32"/>
          <w:u w:val="none"/>
        </w:rPr>
      </w:pPr>
      <w:r>
        <w:rPr>
          <w:rFonts w:hint="eastAsia" w:ascii="仿宋_GB2312" w:hAnsi="仿宋" w:cs="Times New Roman"/>
          <w:b w:val="0"/>
          <w:bCs w:val="0"/>
          <w:kern w:val="0"/>
          <w:sz w:val="32"/>
          <w:szCs w:val="32"/>
          <w:u w:val="none"/>
        </w:rPr>
        <w:t>完善三级客运枢纽体系。按照站城一体、产城融合、开放共享原则，落实枢纽发展和轨道等站场土地综合开发的空间预留、用地管控、开发时序协调，推动枢纽业态与经济开发、城市建设融合发展。规划珠海中心站（鹤洲）等一级枢纽</w:t>
      </w:r>
      <w:r>
        <w:rPr>
          <w:rFonts w:hint="eastAsia" w:cs="Times New Roman"/>
          <w:b w:val="0"/>
          <w:bCs w:val="0"/>
          <w:kern w:val="0"/>
          <w:sz w:val="32"/>
          <w:szCs w:val="32"/>
          <w:u w:val="none"/>
        </w:rPr>
        <w:t>8</w:t>
      </w:r>
      <w:r>
        <w:rPr>
          <w:rFonts w:hint="eastAsia" w:ascii="仿宋_GB2312" w:hAnsi="仿宋" w:cs="Times New Roman"/>
          <w:b w:val="0"/>
          <w:bCs w:val="0"/>
          <w:kern w:val="0"/>
          <w:sz w:val="32"/>
          <w:szCs w:val="32"/>
          <w:u w:val="none"/>
        </w:rPr>
        <w:t>处，强化与国际/</w:t>
      </w:r>
      <w:r>
        <w:rPr>
          <w:rFonts w:ascii="仿宋_GB2312" w:hAnsi="仿宋" w:cs="Times New Roman"/>
          <w:b w:val="0"/>
          <w:bCs w:val="0"/>
          <w:kern w:val="0"/>
          <w:sz w:val="32"/>
          <w:szCs w:val="32"/>
          <w:u w:val="none"/>
        </w:rPr>
        <w:t>国内以及大湾区</w:t>
      </w:r>
      <w:r>
        <w:rPr>
          <w:rFonts w:hint="eastAsia" w:ascii="仿宋_GB2312" w:hAnsi="仿宋" w:cs="Times New Roman"/>
          <w:b w:val="0"/>
          <w:bCs w:val="0"/>
          <w:kern w:val="0"/>
          <w:sz w:val="32"/>
          <w:szCs w:val="32"/>
          <w:u w:val="none"/>
        </w:rPr>
        <w:t>的交通衔接；规划前山站等二级枢纽</w:t>
      </w:r>
      <w:r>
        <w:rPr>
          <w:rFonts w:hint="eastAsia" w:cs="Times New Roman"/>
          <w:b w:val="0"/>
          <w:bCs w:val="0"/>
          <w:kern w:val="0"/>
          <w:sz w:val="32"/>
          <w:szCs w:val="32"/>
          <w:u w:val="none"/>
        </w:rPr>
        <w:t>15</w:t>
      </w:r>
      <w:r>
        <w:rPr>
          <w:rFonts w:hint="eastAsia" w:ascii="仿宋_GB2312" w:hAnsi="仿宋" w:cs="Times New Roman"/>
          <w:b w:val="0"/>
          <w:bCs w:val="0"/>
          <w:kern w:val="0"/>
          <w:sz w:val="32"/>
          <w:szCs w:val="32"/>
          <w:u w:val="none"/>
        </w:rPr>
        <w:t>处，支撑城市空间拓展和联系；规划洪湾等三级枢纽</w:t>
      </w:r>
      <w:r>
        <w:rPr>
          <w:rFonts w:hint="eastAsia" w:cs="Times New Roman"/>
          <w:b w:val="0"/>
          <w:bCs w:val="0"/>
          <w:kern w:val="0"/>
          <w:sz w:val="32"/>
          <w:szCs w:val="32"/>
          <w:u w:val="none"/>
        </w:rPr>
        <w:t>30</w:t>
      </w:r>
      <w:r>
        <w:rPr>
          <w:rFonts w:hint="eastAsia" w:ascii="仿宋_GB2312" w:hAnsi="仿宋" w:cs="Times New Roman"/>
          <w:b w:val="0"/>
          <w:bCs w:val="0"/>
          <w:kern w:val="0"/>
          <w:sz w:val="32"/>
          <w:szCs w:val="32"/>
          <w:u w:val="none"/>
        </w:rPr>
        <w:t>处，提升城市交通衔接转换效率，推动全国性综合交通枢纽城市建设，详见专栏</w:t>
      </w:r>
      <w:r>
        <w:rPr>
          <w:rFonts w:hint="eastAsia" w:cs="Times New Roman"/>
          <w:b w:val="0"/>
          <w:bCs w:val="0"/>
          <w:kern w:val="0"/>
          <w:sz w:val="32"/>
          <w:szCs w:val="32"/>
          <w:u w:val="none"/>
        </w:rPr>
        <w:t>1</w:t>
      </w:r>
      <w:r>
        <w:rPr>
          <w:rFonts w:cs="Times New Roman"/>
          <w:b w:val="0"/>
          <w:bCs w:val="0"/>
          <w:kern w:val="0"/>
          <w:sz w:val="32"/>
          <w:szCs w:val="32"/>
          <w:u w:val="none"/>
        </w:rPr>
        <w:t>0</w:t>
      </w:r>
      <w:r>
        <w:rPr>
          <w:rFonts w:ascii="仿宋_GB2312" w:hAnsi="仿宋" w:cs="Times New Roman"/>
          <w:b w:val="0"/>
          <w:bCs w:val="0"/>
          <w:kern w:val="0"/>
          <w:sz w:val="32"/>
          <w:szCs w:val="32"/>
          <w:u w:val="none"/>
        </w:rPr>
        <w:t>-</w:t>
      </w:r>
      <w:r>
        <w:rPr>
          <w:rFonts w:cs="Times New Roman"/>
          <w:b w:val="0"/>
          <w:bCs w:val="0"/>
          <w:kern w:val="0"/>
          <w:sz w:val="32"/>
          <w:szCs w:val="32"/>
          <w:u w:val="none"/>
        </w:rPr>
        <w:t>2</w:t>
      </w:r>
      <w:r>
        <w:rPr>
          <w:rFonts w:hint="eastAsia" w:ascii="仿宋_GB2312" w:hAnsi="仿宋" w:cs="Times New Roman"/>
          <w:b w:val="0"/>
          <w:bCs w:val="0"/>
          <w:kern w:val="0"/>
          <w:sz w:val="32"/>
          <w:szCs w:val="32"/>
          <w:u w:val="none"/>
        </w:rPr>
        <w:t>。</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2870"/>
        <w:gridCol w:w="5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9286" w:type="dxa"/>
            <w:gridSpan w:val="3"/>
            <w:shd w:val="clear" w:color="auto" w:fill="D9D9D9"/>
            <w:noWrap w:val="0"/>
            <w:vAlign w:val="center"/>
          </w:tcPr>
          <w:p>
            <w:pPr>
              <w:spacing w:before="46" w:after="46"/>
              <w:ind w:firstLine="0" w:firstLineChars="0"/>
              <w:jc w:val="center"/>
              <w:rPr>
                <w:rFonts w:hint="eastAsia" w:cs="Times New Roman"/>
                <w:b w:val="0"/>
                <w:bCs w:val="0"/>
                <w:kern w:val="0"/>
                <w:sz w:val="22"/>
                <w:u w:val="none"/>
              </w:rPr>
            </w:pPr>
            <w:r>
              <w:rPr>
                <w:rFonts w:hint="eastAsia" w:eastAsia="黑体" w:cs="Times New Roman"/>
                <w:b w:val="0"/>
                <w:bCs w:val="0"/>
                <w:kern w:val="0"/>
                <w:u w:val="none"/>
              </w:rPr>
              <w:t>专栏1</w:t>
            </w:r>
            <w:r>
              <w:rPr>
                <w:rFonts w:eastAsia="黑体" w:cs="Times New Roman"/>
                <w:b w:val="0"/>
                <w:bCs w:val="0"/>
                <w:kern w:val="0"/>
                <w:u w:val="none"/>
              </w:rPr>
              <w:t>0-2</w:t>
            </w:r>
            <w:r>
              <w:rPr>
                <w:rFonts w:hint="eastAsia" w:eastAsia="黑体" w:cs="Times New Roman"/>
                <w:b w:val="0"/>
                <w:bCs w:val="0"/>
                <w:kern w:val="0"/>
                <w:u w:val="none"/>
              </w:rPr>
              <w:t>：三级客运枢纽体系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291" w:type="dxa"/>
            <w:noWrap w:val="0"/>
            <w:vAlign w:val="center"/>
          </w:tcPr>
          <w:p>
            <w:pPr>
              <w:pStyle w:val="8"/>
              <w:rPr>
                <w:b w:val="0"/>
                <w:bCs w:val="0"/>
                <w:u w:val="none"/>
              </w:rPr>
            </w:pPr>
            <w:r>
              <w:rPr>
                <w:rFonts w:hint="eastAsia"/>
                <w:b w:val="0"/>
                <w:bCs w:val="0"/>
                <w:u w:val="none"/>
              </w:rPr>
              <w:t>类型</w:t>
            </w:r>
          </w:p>
        </w:tc>
        <w:tc>
          <w:tcPr>
            <w:tcW w:w="2870" w:type="dxa"/>
            <w:noWrap w:val="0"/>
            <w:vAlign w:val="center"/>
          </w:tcPr>
          <w:p>
            <w:pPr>
              <w:pStyle w:val="8"/>
              <w:rPr>
                <w:rFonts w:hint="eastAsia"/>
                <w:b w:val="0"/>
                <w:bCs w:val="0"/>
                <w:u w:val="none"/>
              </w:rPr>
            </w:pPr>
            <w:r>
              <w:rPr>
                <w:rFonts w:hint="eastAsia"/>
                <w:b w:val="0"/>
                <w:bCs w:val="0"/>
                <w:u w:val="none"/>
              </w:rPr>
              <w:t>功能</w:t>
            </w:r>
          </w:p>
        </w:tc>
        <w:tc>
          <w:tcPr>
            <w:tcW w:w="5125" w:type="dxa"/>
            <w:noWrap w:val="0"/>
            <w:vAlign w:val="center"/>
          </w:tcPr>
          <w:p>
            <w:pPr>
              <w:pStyle w:val="8"/>
              <w:rPr>
                <w:rFonts w:hint="eastAsia"/>
                <w:b w:val="0"/>
                <w:bCs w:val="0"/>
                <w:u w:val="none"/>
              </w:rPr>
            </w:pPr>
            <w:r>
              <w:rPr>
                <w:rFonts w:hint="eastAsia"/>
                <w:b w:val="0"/>
                <w:bCs w:val="0"/>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291" w:type="dxa"/>
            <w:noWrap w:val="0"/>
            <w:vAlign w:val="center"/>
          </w:tcPr>
          <w:p>
            <w:pPr>
              <w:pStyle w:val="8"/>
              <w:rPr>
                <w:rFonts w:hint="eastAsia"/>
                <w:b w:val="0"/>
                <w:bCs w:val="0"/>
                <w:u w:val="none"/>
              </w:rPr>
            </w:pPr>
            <w:r>
              <w:rPr>
                <w:rFonts w:hint="eastAsia"/>
                <w:b w:val="0"/>
                <w:bCs w:val="0"/>
                <w:u w:val="none"/>
              </w:rPr>
              <w:t>一级枢纽</w:t>
            </w:r>
          </w:p>
        </w:tc>
        <w:tc>
          <w:tcPr>
            <w:tcW w:w="2870" w:type="dxa"/>
            <w:noWrap w:val="0"/>
            <w:vAlign w:val="center"/>
          </w:tcPr>
          <w:p>
            <w:pPr>
              <w:pStyle w:val="8"/>
              <w:rPr>
                <w:rFonts w:hint="eastAsia"/>
                <w:b w:val="0"/>
                <w:bCs w:val="0"/>
                <w:u w:val="none"/>
              </w:rPr>
            </w:pPr>
            <w:r>
              <w:rPr>
                <w:rFonts w:hint="eastAsia"/>
                <w:b w:val="0"/>
                <w:bCs w:val="0"/>
                <w:u w:val="none"/>
              </w:rPr>
              <w:t>服务于国际/国内及大湾区的综合交通换乘枢纽</w:t>
            </w:r>
          </w:p>
        </w:tc>
        <w:tc>
          <w:tcPr>
            <w:tcW w:w="5125" w:type="dxa"/>
            <w:noWrap w:val="0"/>
            <w:vAlign w:val="center"/>
          </w:tcPr>
          <w:p>
            <w:pPr>
              <w:pStyle w:val="8"/>
              <w:rPr>
                <w:rFonts w:hint="eastAsia"/>
                <w:b w:val="0"/>
                <w:bCs w:val="0"/>
                <w:u w:val="none"/>
              </w:rPr>
            </w:pPr>
            <w:r>
              <w:rPr>
                <w:rFonts w:hint="eastAsia"/>
                <w:b w:val="0"/>
                <w:bCs w:val="0"/>
                <w:u w:val="none"/>
              </w:rPr>
              <w:t>珠海中心站(鹤洲)、拱北枢纽、珠海金湾机场、横琴口岸、港珠澳大桥珠海公路口岸、珠海北站、金湾枢纽、九洲港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291" w:type="dxa"/>
            <w:noWrap w:val="0"/>
            <w:vAlign w:val="center"/>
          </w:tcPr>
          <w:p>
            <w:pPr>
              <w:pStyle w:val="8"/>
              <w:rPr>
                <w:rFonts w:hint="eastAsia"/>
                <w:b w:val="0"/>
                <w:bCs w:val="0"/>
                <w:u w:val="none"/>
              </w:rPr>
            </w:pPr>
            <w:r>
              <w:rPr>
                <w:rFonts w:hint="eastAsia"/>
                <w:b w:val="0"/>
                <w:bCs w:val="0"/>
                <w:u w:val="none"/>
              </w:rPr>
              <w:t>二级枢纽</w:t>
            </w:r>
          </w:p>
        </w:tc>
        <w:tc>
          <w:tcPr>
            <w:tcW w:w="2870" w:type="dxa"/>
            <w:noWrap w:val="0"/>
            <w:vAlign w:val="center"/>
          </w:tcPr>
          <w:p>
            <w:pPr>
              <w:pStyle w:val="8"/>
              <w:rPr>
                <w:rFonts w:hint="eastAsia"/>
                <w:b w:val="0"/>
                <w:bCs w:val="0"/>
                <w:u w:val="none"/>
              </w:rPr>
            </w:pPr>
            <w:r>
              <w:rPr>
                <w:rFonts w:hint="eastAsia"/>
                <w:b w:val="0"/>
                <w:bCs w:val="0"/>
                <w:u w:val="none"/>
              </w:rPr>
              <w:t>承担珠海市域内部客流服务的交通换乘枢纽</w:t>
            </w:r>
          </w:p>
        </w:tc>
        <w:tc>
          <w:tcPr>
            <w:tcW w:w="5125" w:type="dxa"/>
            <w:noWrap w:val="0"/>
            <w:vAlign w:val="center"/>
          </w:tcPr>
          <w:p>
            <w:pPr>
              <w:pStyle w:val="8"/>
              <w:rPr>
                <w:b w:val="0"/>
                <w:bCs w:val="0"/>
                <w:u w:val="none"/>
              </w:rPr>
            </w:pPr>
            <w:r>
              <w:rPr>
                <w:rFonts w:hint="eastAsia"/>
                <w:b w:val="0"/>
                <w:bCs w:val="0"/>
                <w:u w:val="none"/>
              </w:rPr>
              <w:t>前山、海虹、明珠等15处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291" w:type="dxa"/>
            <w:noWrap w:val="0"/>
            <w:vAlign w:val="center"/>
          </w:tcPr>
          <w:p>
            <w:pPr>
              <w:pStyle w:val="8"/>
              <w:rPr>
                <w:rFonts w:hint="eastAsia"/>
                <w:b w:val="0"/>
                <w:bCs w:val="0"/>
                <w:u w:val="none"/>
              </w:rPr>
            </w:pPr>
            <w:r>
              <w:rPr>
                <w:rFonts w:hint="eastAsia"/>
                <w:b w:val="0"/>
                <w:bCs w:val="0"/>
                <w:u w:val="none"/>
              </w:rPr>
              <w:t>三级枢纽</w:t>
            </w:r>
          </w:p>
        </w:tc>
        <w:tc>
          <w:tcPr>
            <w:tcW w:w="2870" w:type="dxa"/>
            <w:noWrap w:val="0"/>
            <w:vAlign w:val="center"/>
          </w:tcPr>
          <w:p>
            <w:pPr>
              <w:pStyle w:val="8"/>
              <w:rPr>
                <w:rFonts w:hint="eastAsia"/>
                <w:b w:val="0"/>
                <w:bCs w:val="0"/>
                <w:u w:val="none"/>
              </w:rPr>
            </w:pPr>
            <w:r>
              <w:rPr>
                <w:rFonts w:hint="eastAsia"/>
                <w:b w:val="0"/>
                <w:bCs w:val="0"/>
                <w:u w:val="none"/>
              </w:rPr>
              <w:t>市内组团客运枢纽</w:t>
            </w:r>
          </w:p>
        </w:tc>
        <w:tc>
          <w:tcPr>
            <w:tcW w:w="5125" w:type="dxa"/>
            <w:noWrap w:val="0"/>
            <w:vAlign w:val="center"/>
          </w:tcPr>
          <w:p>
            <w:pPr>
              <w:pStyle w:val="8"/>
              <w:rPr>
                <w:b w:val="0"/>
                <w:bCs w:val="0"/>
                <w:u w:val="none"/>
              </w:rPr>
            </w:pPr>
            <w:r>
              <w:rPr>
                <w:rFonts w:hint="eastAsia"/>
                <w:b w:val="0"/>
                <w:bCs w:val="0"/>
                <w:u w:val="none"/>
              </w:rPr>
              <w:t>洪湾、唐家等30处</w:t>
            </w:r>
          </w:p>
        </w:tc>
      </w:tr>
    </w:tbl>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构建与中心体系高度契合的轨道交通网络。利用城际轨道市区段作为市域快线，加快推进珠机城际</w:t>
      </w:r>
      <w:r>
        <w:rPr>
          <w:rFonts w:hint="eastAsia"/>
          <w:b w:val="0"/>
          <w:bCs w:val="0"/>
          <w:sz w:val="32"/>
          <w:szCs w:val="32"/>
          <w:u w:val="none"/>
        </w:rPr>
        <w:t>二期</w:t>
      </w:r>
      <w:r>
        <w:rPr>
          <w:rFonts w:hint="eastAsia" w:ascii="仿宋_GB2312" w:hAnsi="仿宋" w:cs="Times New Roman"/>
          <w:b w:val="0"/>
          <w:bCs w:val="0"/>
          <w:kern w:val="0"/>
          <w:sz w:val="32"/>
          <w:szCs w:val="32"/>
          <w:u w:val="none"/>
        </w:rPr>
        <w:t>建设，规划建设南珠（中）城际、珠斗城际、广佛江珠城际珠海中心站（鹤洲）至珠海机场段，与广珠城际、珠机城际共同构成市域轨道环线战略廊道。规划</w:t>
      </w:r>
      <w:r>
        <w:rPr>
          <w:rFonts w:hint="eastAsia" w:cs="Times New Roman"/>
          <w:b w:val="0"/>
          <w:bCs w:val="0"/>
          <w:kern w:val="0"/>
          <w:sz w:val="32"/>
          <w:szCs w:val="32"/>
          <w:u w:val="none"/>
        </w:rPr>
        <w:t>7</w:t>
      </w:r>
      <w:r>
        <w:rPr>
          <w:rFonts w:hint="eastAsia" w:ascii="仿宋_GB2312" w:hAnsi="仿宋" w:cs="Times New Roman"/>
          <w:b w:val="0"/>
          <w:bCs w:val="0"/>
          <w:kern w:val="0"/>
          <w:sz w:val="32"/>
          <w:szCs w:val="32"/>
          <w:u w:val="none"/>
        </w:rPr>
        <w:t>条城市轨道交通线路，结合城际轨道，实现东西城区之间</w:t>
      </w:r>
      <w:r>
        <w:rPr>
          <w:rFonts w:hint="eastAsia" w:cs="Times New Roman"/>
          <w:b w:val="0"/>
          <w:bCs w:val="0"/>
          <w:kern w:val="0"/>
          <w:sz w:val="32"/>
          <w:szCs w:val="32"/>
          <w:u w:val="none"/>
        </w:rPr>
        <w:t>30</w:t>
      </w:r>
      <w:r>
        <w:rPr>
          <w:rFonts w:hint="eastAsia" w:ascii="仿宋_GB2312" w:hAnsi="仿宋" w:cs="Times New Roman"/>
          <w:b w:val="0"/>
          <w:bCs w:val="0"/>
          <w:kern w:val="0"/>
          <w:sz w:val="32"/>
          <w:szCs w:val="32"/>
          <w:u w:val="none"/>
        </w:rPr>
        <w:t>分钟互达、东西中心城区内部</w:t>
      </w:r>
      <w:r>
        <w:rPr>
          <w:rFonts w:hint="eastAsia" w:cs="Times New Roman"/>
          <w:b w:val="0"/>
          <w:bCs w:val="0"/>
          <w:kern w:val="0"/>
          <w:sz w:val="32"/>
          <w:szCs w:val="32"/>
          <w:u w:val="none"/>
        </w:rPr>
        <w:t>30</w:t>
      </w:r>
      <w:r>
        <w:rPr>
          <w:rFonts w:hint="eastAsia" w:ascii="仿宋_GB2312" w:hAnsi="仿宋" w:cs="Times New Roman"/>
          <w:b w:val="0"/>
          <w:bCs w:val="0"/>
          <w:kern w:val="0"/>
          <w:sz w:val="32"/>
          <w:szCs w:val="32"/>
          <w:u w:val="none"/>
        </w:rPr>
        <w:t>分钟可达的目标。加强城市轨道与珠海市土地利用的协调发展，支撑城市重点地区建设以及城市更新，引导就业岗位和人口优先围绕轨道站点布局。至</w:t>
      </w:r>
      <w:r>
        <w:rPr>
          <w:rFonts w:hint="eastAsia" w:cs="Times New Roman"/>
          <w:b w:val="0"/>
          <w:bCs w:val="0"/>
          <w:kern w:val="0"/>
          <w:sz w:val="32"/>
          <w:szCs w:val="32"/>
          <w:u w:val="none"/>
        </w:rPr>
        <w:t>2035</w:t>
      </w:r>
      <w:r>
        <w:rPr>
          <w:rFonts w:hint="eastAsia" w:ascii="仿宋_GB2312" w:hAnsi="仿宋" w:cs="Times New Roman"/>
          <w:b w:val="0"/>
          <w:bCs w:val="0"/>
          <w:kern w:val="0"/>
          <w:sz w:val="32"/>
          <w:szCs w:val="32"/>
          <w:u w:val="none"/>
        </w:rPr>
        <w:t>年，珠海市轨道交通站点</w:t>
      </w:r>
      <w:r>
        <w:rPr>
          <w:rFonts w:hint="eastAsia" w:cs="Times New Roman"/>
          <w:b w:val="0"/>
          <w:bCs w:val="0"/>
          <w:kern w:val="0"/>
          <w:sz w:val="32"/>
          <w:szCs w:val="32"/>
          <w:u w:val="none"/>
        </w:rPr>
        <w:t>8</w:t>
      </w:r>
      <w:r>
        <w:rPr>
          <w:rFonts w:cs="Times New Roman"/>
          <w:b w:val="0"/>
          <w:bCs w:val="0"/>
          <w:kern w:val="0"/>
          <w:sz w:val="32"/>
          <w:szCs w:val="32"/>
          <w:u w:val="none"/>
        </w:rPr>
        <w:t>00</w:t>
      </w:r>
      <w:r>
        <w:rPr>
          <w:rFonts w:hint="eastAsia" w:ascii="仿宋_GB2312" w:hAnsi="仿宋" w:cs="Times New Roman"/>
          <w:b w:val="0"/>
          <w:bCs w:val="0"/>
          <w:kern w:val="0"/>
          <w:sz w:val="32"/>
          <w:szCs w:val="32"/>
          <w:u w:val="none"/>
        </w:rPr>
        <w:t>米半径人口岗位覆盖率达到</w:t>
      </w:r>
      <w:r>
        <w:rPr>
          <w:rFonts w:cs="Times New Roman"/>
          <w:b w:val="0"/>
          <w:bCs w:val="0"/>
          <w:kern w:val="0"/>
          <w:sz w:val="32"/>
          <w:szCs w:val="32"/>
          <w:u w:val="none"/>
        </w:rPr>
        <w:t>40</w:t>
      </w:r>
      <w:r>
        <w:rPr>
          <w:rFonts w:ascii="仿宋_GB2312" w:hAnsi="仿宋" w:cs="Times New Roman"/>
          <w:b w:val="0"/>
          <w:bCs w:val="0"/>
          <w:kern w:val="0"/>
          <w:sz w:val="32"/>
          <w:szCs w:val="32"/>
          <w:u w:val="none"/>
        </w:rPr>
        <w:t>%</w:t>
      </w:r>
      <w:r>
        <w:rPr>
          <w:rFonts w:hint="eastAsia" w:ascii="仿宋_GB2312" w:hAnsi="仿宋" w:cs="Times New Roman"/>
          <w:b w:val="0"/>
          <w:bCs w:val="0"/>
          <w:kern w:val="0"/>
          <w:sz w:val="32"/>
          <w:szCs w:val="32"/>
          <w:u w:val="none"/>
        </w:rPr>
        <w:t>。</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Times New Roman"/>
          <w:b w:val="0"/>
          <w:bCs w:val="0"/>
          <w:spacing w:val="0"/>
          <w:kern w:val="0"/>
          <w:sz w:val="32"/>
          <w:szCs w:val="32"/>
          <w:u w:val="none"/>
        </w:rPr>
      </w:pPr>
      <w:r>
        <w:rPr>
          <w:rFonts w:hint="eastAsia" w:ascii="仿宋_GB2312" w:hAnsi="仿宋" w:cs="Times New Roman"/>
          <w:b w:val="0"/>
          <w:bCs w:val="0"/>
          <w:spacing w:val="0"/>
          <w:kern w:val="0"/>
          <w:sz w:val="32"/>
          <w:szCs w:val="32"/>
          <w:u w:val="none"/>
        </w:rPr>
        <w:t>全面提升常规公交服务水平。衔接城市中心体系和轨道交通，重构常规公交线网，规划形成“快-干-支(微)”多层次、一体化的常规公交网络。拓展公交专用道网络，保障公交路权。</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52" w:name="_Toc29200"/>
      <w:bookmarkStart w:id="253" w:name="_Toc142402726"/>
      <w:r>
        <w:rPr>
          <w:rFonts w:hint="eastAsia"/>
          <w:b w:val="0"/>
          <w:bCs w:val="0"/>
          <w:sz w:val="32"/>
          <w:szCs w:val="32"/>
          <w:u w:val="none"/>
        </w:rPr>
        <w:t>构建与基本城市组团高度匹配的干线路网格局</w:t>
      </w:r>
      <w:bookmarkEnd w:id="252"/>
      <w:bookmarkEnd w:id="253"/>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hAnsi="仿宋" w:cs="Times New Roman"/>
          <w:b w:val="0"/>
          <w:bCs w:val="0"/>
          <w:spacing w:val="-6"/>
          <w:kern w:val="0"/>
          <w:sz w:val="32"/>
          <w:szCs w:val="32"/>
          <w:u w:val="none"/>
        </w:rPr>
      </w:pPr>
      <w:r>
        <w:rPr>
          <w:rFonts w:hint="eastAsia" w:ascii="仿宋_GB2312" w:hAnsi="仿宋" w:cs="Times New Roman"/>
          <w:b w:val="0"/>
          <w:bCs w:val="0"/>
          <w:spacing w:val="6"/>
          <w:kern w:val="0"/>
          <w:sz w:val="32"/>
          <w:szCs w:val="32"/>
          <w:u w:val="none"/>
        </w:rPr>
        <w:t>完善城市干线道路网络。规划“八横、十一纵”骨干路网，与基本城市组团发展要求高度匹配，合理设置骨干</w:t>
      </w:r>
      <w:r>
        <w:rPr>
          <w:rFonts w:hint="eastAsia"/>
          <w:b w:val="0"/>
          <w:bCs w:val="0"/>
          <w:spacing w:val="6"/>
          <w:sz w:val="32"/>
          <w:szCs w:val="32"/>
          <w:u w:val="none"/>
        </w:rPr>
        <w:t>道路</w:t>
      </w:r>
      <w:r>
        <w:rPr>
          <w:rFonts w:hint="eastAsia" w:ascii="仿宋_GB2312" w:hAnsi="仿宋" w:cs="Times New Roman"/>
          <w:b w:val="0"/>
          <w:bCs w:val="0"/>
          <w:spacing w:val="6"/>
          <w:kern w:val="0"/>
          <w:sz w:val="32"/>
          <w:szCs w:val="32"/>
          <w:u w:val="none"/>
        </w:rPr>
        <w:t>间距、敷设方式和衔接节点，引导城市空间有序拓展，实现</w:t>
      </w:r>
      <w:r>
        <w:rPr>
          <w:rFonts w:hint="eastAsia" w:cs="Times New Roman"/>
          <w:b w:val="0"/>
          <w:bCs w:val="0"/>
          <w:spacing w:val="6"/>
          <w:kern w:val="0"/>
          <w:sz w:val="32"/>
          <w:szCs w:val="32"/>
          <w:u w:val="none"/>
        </w:rPr>
        <w:t>15</w:t>
      </w:r>
      <w:r>
        <w:rPr>
          <w:rFonts w:hint="eastAsia" w:ascii="仿宋_GB2312" w:hAnsi="仿宋" w:cs="Times New Roman"/>
          <w:b w:val="0"/>
          <w:bCs w:val="0"/>
          <w:spacing w:val="6"/>
          <w:kern w:val="0"/>
          <w:sz w:val="32"/>
          <w:szCs w:val="32"/>
          <w:u w:val="none"/>
        </w:rPr>
        <w:t>分钟上高快速路、市域</w:t>
      </w:r>
      <w:r>
        <w:rPr>
          <w:rFonts w:hint="eastAsia" w:cs="Times New Roman"/>
          <w:b w:val="0"/>
          <w:bCs w:val="0"/>
          <w:spacing w:val="6"/>
          <w:kern w:val="0"/>
          <w:sz w:val="32"/>
          <w:szCs w:val="32"/>
          <w:u w:val="none"/>
        </w:rPr>
        <w:t>60</w:t>
      </w:r>
      <w:r>
        <w:rPr>
          <w:rFonts w:hint="eastAsia" w:ascii="仿宋_GB2312" w:hAnsi="仿宋" w:cs="Times New Roman"/>
          <w:b w:val="0"/>
          <w:bCs w:val="0"/>
          <w:spacing w:val="6"/>
          <w:kern w:val="0"/>
          <w:sz w:val="32"/>
          <w:szCs w:val="32"/>
          <w:u w:val="none"/>
        </w:rPr>
        <w:t>分钟全覆盖的目标，详见专栏</w:t>
      </w:r>
      <w:r>
        <w:rPr>
          <w:rFonts w:hint="eastAsia" w:cs="Times New Roman"/>
          <w:b w:val="0"/>
          <w:bCs w:val="0"/>
          <w:spacing w:val="6"/>
          <w:kern w:val="0"/>
          <w:sz w:val="32"/>
          <w:szCs w:val="32"/>
          <w:u w:val="none"/>
        </w:rPr>
        <w:t>1</w:t>
      </w:r>
      <w:r>
        <w:rPr>
          <w:rFonts w:cs="Times New Roman"/>
          <w:b w:val="0"/>
          <w:bCs w:val="0"/>
          <w:spacing w:val="6"/>
          <w:kern w:val="0"/>
          <w:sz w:val="32"/>
          <w:szCs w:val="32"/>
          <w:u w:val="none"/>
        </w:rPr>
        <w:t>0</w:t>
      </w:r>
      <w:r>
        <w:rPr>
          <w:rFonts w:ascii="仿宋_GB2312" w:hAnsi="仿宋" w:cs="Times New Roman"/>
          <w:b w:val="0"/>
          <w:bCs w:val="0"/>
          <w:spacing w:val="6"/>
          <w:kern w:val="0"/>
          <w:sz w:val="32"/>
          <w:szCs w:val="32"/>
          <w:u w:val="none"/>
        </w:rPr>
        <w:t>-</w:t>
      </w:r>
      <w:r>
        <w:rPr>
          <w:rFonts w:cs="Times New Roman"/>
          <w:b w:val="0"/>
          <w:bCs w:val="0"/>
          <w:spacing w:val="6"/>
          <w:kern w:val="0"/>
          <w:sz w:val="32"/>
          <w:szCs w:val="32"/>
          <w:u w:val="none"/>
        </w:rPr>
        <w:t>3</w:t>
      </w:r>
      <w:r>
        <w:rPr>
          <w:rFonts w:hint="eastAsia" w:ascii="仿宋_GB2312" w:hAnsi="仿宋" w:cs="Times New Roman"/>
          <w:b w:val="0"/>
          <w:bCs w:val="0"/>
          <w:spacing w:val="6"/>
          <w:kern w:val="0"/>
          <w:sz w:val="32"/>
          <w:szCs w:val="32"/>
          <w:u w:val="none"/>
        </w:rPr>
        <w:t>。</w:t>
      </w:r>
    </w:p>
    <w:p>
      <w:pPr>
        <w:pStyle w:val="2"/>
        <w:rPr>
          <w:rFonts w:hint="eastAsia"/>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7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6" w:type="dxa"/>
            <w:gridSpan w:val="2"/>
            <w:shd w:val="clear" w:color="auto" w:fill="D9D9D9"/>
            <w:noWrap w:val="0"/>
            <w:vAlign w:val="center"/>
          </w:tcPr>
          <w:p>
            <w:pPr>
              <w:spacing w:before="46" w:after="46"/>
              <w:ind w:firstLine="0" w:firstLineChars="0"/>
              <w:jc w:val="center"/>
              <w:rPr>
                <w:rFonts w:hint="eastAsia" w:cs="Times New Roman"/>
                <w:b w:val="0"/>
                <w:bCs w:val="0"/>
                <w:kern w:val="0"/>
                <w:sz w:val="22"/>
                <w:u w:val="none"/>
              </w:rPr>
            </w:pPr>
            <w:r>
              <w:rPr>
                <w:rFonts w:hint="eastAsia" w:eastAsia="黑体" w:cs="Times New Roman"/>
                <w:b w:val="0"/>
                <w:bCs w:val="0"/>
                <w:kern w:val="0"/>
                <w:u w:val="none"/>
              </w:rPr>
              <w:t>专栏1</w:t>
            </w:r>
            <w:r>
              <w:rPr>
                <w:rFonts w:eastAsia="黑体" w:cs="Times New Roman"/>
                <w:b w:val="0"/>
                <w:bCs w:val="0"/>
                <w:kern w:val="0"/>
                <w:u w:val="none"/>
              </w:rPr>
              <w:t>0-3</w:t>
            </w:r>
            <w:r>
              <w:rPr>
                <w:rFonts w:hint="eastAsia" w:eastAsia="黑体" w:cs="Times New Roman"/>
                <w:b w:val="0"/>
                <w:bCs w:val="0"/>
                <w:kern w:val="0"/>
                <w:u w:val="none"/>
              </w:rPr>
              <w:t xml:space="preserve">： </w:t>
            </w:r>
            <w:r>
              <w:rPr>
                <w:rFonts w:eastAsia="黑体" w:cs="Times New Roman"/>
                <w:b w:val="0"/>
                <w:bCs w:val="0"/>
                <w:kern w:val="0"/>
                <w:u w:val="none"/>
              </w:rPr>
              <w:t>“八横</w:t>
            </w:r>
            <w:r>
              <w:rPr>
                <w:rFonts w:hint="eastAsia" w:eastAsia="黑体" w:cs="Times New Roman"/>
                <w:b w:val="0"/>
                <w:bCs w:val="0"/>
                <w:kern w:val="0"/>
                <w:u w:val="none"/>
              </w:rPr>
              <w:t>、十一纵”高快速</w:t>
            </w:r>
            <w:r>
              <w:rPr>
                <w:rFonts w:eastAsia="黑体" w:cs="Times New Roman"/>
                <w:b w:val="0"/>
                <w:bCs w:val="0"/>
                <w:kern w:val="0"/>
                <w:u w:val="none"/>
              </w:rPr>
              <w:t>路网规划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18" w:type="dxa"/>
            <w:noWrap w:val="0"/>
            <w:vAlign w:val="center"/>
          </w:tcPr>
          <w:p>
            <w:pPr>
              <w:pStyle w:val="8"/>
              <w:rPr>
                <w:b w:val="0"/>
                <w:bCs w:val="0"/>
                <w:u w:val="none"/>
              </w:rPr>
            </w:pPr>
            <w:r>
              <w:rPr>
                <w:rFonts w:hint="eastAsia"/>
                <w:b w:val="0"/>
                <w:bCs w:val="0"/>
                <w:u w:val="none"/>
              </w:rPr>
              <w:t>类型</w:t>
            </w:r>
          </w:p>
        </w:tc>
        <w:tc>
          <w:tcPr>
            <w:tcW w:w="7468" w:type="dxa"/>
            <w:noWrap w:val="0"/>
            <w:vAlign w:val="center"/>
          </w:tcPr>
          <w:p>
            <w:pPr>
              <w:pStyle w:val="8"/>
              <w:rPr>
                <w:b w:val="0"/>
                <w:bCs w:val="0"/>
                <w:u w:val="none"/>
              </w:rPr>
            </w:pPr>
            <w:r>
              <w:rPr>
                <w:rFonts w:hint="eastAsia"/>
                <w:b w:val="0"/>
                <w:bCs w:val="0"/>
                <w:u w:val="none"/>
              </w:rPr>
              <w:t>高快速路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18" w:type="dxa"/>
            <w:noWrap w:val="0"/>
            <w:vAlign w:val="center"/>
          </w:tcPr>
          <w:p>
            <w:pPr>
              <w:pStyle w:val="8"/>
              <w:rPr>
                <w:b w:val="0"/>
                <w:bCs w:val="0"/>
                <w:u w:val="none"/>
              </w:rPr>
            </w:pPr>
            <w:r>
              <w:rPr>
                <w:rFonts w:hint="eastAsia"/>
                <w:b w:val="0"/>
                <w:bCs w:val="0"/>
                <w:u w:val="none"/>
              </w:rPr>
              <w:t>八横</w:t>
            </w:r>
          </w:p>
        </w:tc>
        <w:tc>
          <w:tcPr>
            <w:tcW w:w="7468" w:type="dxa"/>
            <w:noWrap w:val="0"/>
            <w:vAlign w:val="center"/>
          </w:tcPr>
          <w:p>
            <w:pPr>
              <w:pStyle w:val="8"/>
              <w:rPr>
                <w:b w:val="0"/>
                <w:bCs w:val="0"/>
                <w:u w:val="none"/>
              </w:rPr>
            </w:pPr>
            <w:r>
              <w:rPr>
                <w:rFonts w:hint="eastAsia"/>
                <w:b w:val="0"/>
                <w:bCs w:val="0"/>
                <w:u w:val="none"/>
              </w:rPr>
              <w:t>深珠铁路（伶仃洋通道）及其西延线、西部沿海高速公路、富蕉大道、香海大桥及其西延线、珠海大道、港珠澳大桥及其西延线、湖滨路-环岛北路、金海大桥-金港大桥。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18" w:type="dxa"/>
            <w:noWrap w:val="0"/>
            <w:vAlign w:val="center"/>
          </w:tcPr>
          <w:p>
            <w:pPr>
              <w:pStyle w:val="8"/>
              <w:rPr>
                <w:b w:val="0"/>
                <w:bCs w:val="0"/>
                <w:u w:val="none"/>
              </w:rPr>
            </w:pPr>
            <w:r>
              <w:rPr>
                <w:rFonts w:hint="eastAsia"/>
                <w:b w:val="0"/>
                <w:bCs w:val="0"/>
                <w:u w:val="none"/>
              </w:rPr>
              <w:t>十一纵</w:t>
            </w:r>
          </w:p>
        </w:tc>
        <w:tc>
          <w:tcPr>
            <w:tcW w:w="7468" w:type="dxa"/>
            <w:noWrap w:val="0"/>
            <w:vAlign w:val="center"/>
          </w:tcPr>
          <w:p>
            <w:pPr>
              <w:pStyle w:val="8"/>
              <w:rPr>
                <w:b w:val="0"/>
                <w:bCs w:val="0"/>
                <w:u w:val="none"/>
              </w:rPr>
            </w:pPr>
            <w:r>
              <w:rPr>
                <w:rFonts w:hint="eastAsia"/>
                <w:b w:val="0"/>
                <w:bCs w:val="0"/>
                <w:u w:val="none"/>
              </w:rPr>
              <w:t>高栏港高速公路、高栏港快线、机场高速公路、机场北路、机场东路、江珠高速公路、中山西外环高速公路、广珠西线高速公路、横琴第三通道、金琴快线-南湾大道-环岛东路、兴业快线。</w:t>
            </w:r>
          </w:p>
        </w:tc>
      </w:tr>
    </w:tbl>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强化东西城区骨干通道高效衔接。东部中心城区和西部中心城区内部分别形成快速路环，提升中心城区内部道路交通效率。通过西部沿海高速公路、富蕉大道、香海大桥、珠海大道、洪鹤大桥、金海大桥、环岛北路(西延)等</w:t>
      </w:r>
      <w:r>
        <w:rPr>
          <w:rFonts w:hint="eastAsia" w:cs="Times New Roman"/>
          <w:b w:val="0"/>
          <w:bCs w:val="0"/>
          <w:kern w:val="0"/>
          <w:sz w:val="32"/>
          <w:szCs w:val="32"/>
          <w:u w:val="none"/>
        </w:rPr>
        <w:t>7</w:t>
      </w:r>
      <w:r>
        <w:rPr>
          <w:rFonts w:hint="eastAsia" w:ascii="仿宋_GB2312" w:hAnsi="仿宋" w:cs="Times New Roman"/>
          <w:b w:val="0"/>
          <w:bCs w:val="0"/>
          <w:kern w:val="0"/>
          <w:sz w:val="32"/>
          <w:szCs w:val="32"/>
          <w:u w:val="none"/>
        </w:rPr>
        <w:t>条东西向衔接通道，实现东西中心城区之间</w:t>
      </w:r>
      <w:r>
        <w:rPr>
          <w:rFonts w:hint="eastAsia" w:cs="Times New Roman"/>
          <w:b w:val="0"/>
          <w:bCs w:val="0"/>
          <w:kern w:val="0"/>
          <w:sz w:val="32"/>
          <w:szCs w:val="32"/>
          <w:u w:val="none"/>
        </w:rPr>
        <w:t>30</w:t>
      </w:r>
      <w:r>
        <w:rPr>
          <w:rFonts w:hint="eastAsia" w:ascii="仿宋_GB2312" w:hAnsi="仿宋" w:cs="Times New Roman"/>
          <w:b w:val="0"/>
          <w:bCs w:val="0"/>
          <w:kern w:val="0"/>
          <w:sz w:val="32"/>
          <w:szCs w:val="32"/>
          <w:u w:val="none"/>
        </w:rPr>
        <w:t>分钟互达。</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54" w:name="_Toc19874"/>
      <w:bookmarkStart w:id="255" w:name="_Toc142402727"/>
      <w:r>
        <w:rPr>
          <w:rFonts w:hint="eastAsia"/>
          <w:b w:val="0"/>
          <w:bCs w:val="0"/>
          <w:sz w:val="32"/>
          <w:szCs w:val="32"/>
          <w:u w:val="none"/>
        </w:rPr>
        <w:t>建设完善的陆岛交通体系</w:t>
      </w:r>
      <w:bookmarkEnd w:id="254"/>
      <w:bookmarkEnd w:id="255"/>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完善九洲港、香洲港及桂山、东澳、大小万山、外伶仃等客运码头，规划“六陆二十岛”陆岛客运码头体系；规划新增海泉湾及大小万山海域邮轮码头，完善游艇码头体系；鼓励直升机、水上飞机等多样化、人性化的陆岛交通方式；全方位打造多模式、立体化陆岛客运交通体系，支撑粤港澳大湾区世界级旅游目的地建设。</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56" w:name="_Toc142402728"/>
      <w:bookmarkStart w:id="257" w:name="_Toc22060"/>
      <w:r>
        <w:rPr>
          <w:rFonts w:hint="eastAsia"/>
          <w:b w:val="0"/>
          <w:bCs w:val="0"/>
          <w:sz w:val="32"/>
          <w:szCs w:val="32"/>
          <w:u w:val="none"/>
        </w:rPr>
        <w:t>推动慢行和静态交通全面升级</w:t>
      </w:r>
      <w:bookmarkEnd w:id="256"/>
      <w:bookmarkEnd w:id="257"/>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构筑高品质的特色慢行交通网络。规划三级慢行通勤网络，重点控制组团核心区自行车通勤廊道和空间，提升慢行出行舒适度；结合城市山水特色，依托绿道、碧道、古驿道、云道（健康步道）等，打造“环山滨水、产城相通”的综合立体慢行休闲景观走廊。</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高标准打造特色慢行示范街区。引入稳静化、全天候、儿童友好等先进慢行规划设计理念，加强慢行交通与城市公共交通的衔接，提升行人过街设施安全性和舒适性，重点打造凤凰北、十字门、白龙河尾等八大特色慢行街区。</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创新发展静态交通系统。完善停车管理政策和差异化停车设施供给，引导居民合理化出行方式。健全城市停车设施基础信息数据采集机制，推进城市停车管理平台与移动互联网融合，促进智慧停车产业发展。以配建停车为主、路外公共停车为辅、路内停车为补充。</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58" w:name="_Toc142402729"/>
      <w:bookmarkStart w:id="259" w:name="_Toc9978"/>
      <w:r>
        <w:rPr>
          <w:rFonts w:hint="eastAsia"/>
          <w:b w:val="0"/>
          <w:bCs w:val="0"/>
          <w:sz w:val="32"/>
          <w:szCs w:val="32"/>
          <w:u w:val="none"/>
        </w:rPr>
        <w:t>建设支撑城市高质量发展的物流系统</w:t>
      </w:r>
      <w:bookmarkEnd w:id="258"/>
      <w:bookmarkEnd w:id="259"/>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cs="Times New Roman"/>
          <w:b w:val="0"/>
          <w:bCs w:val="0"/>
          <w:sz w:val="32"/>
          <w:szCs w:val="32"/>
          <w:u w:val="none"/>
        </w:rPr>
      </w:pPr>
      <w:r>
        <w:rPr>
          <w:rFonts w:hint="eastAsia" w:ascii="仿宋_GB2312" w:hAnsi="仿宋" w:cs="Times New Roman"/>
          <w:b w:val="0"/>
          <w:bCs w:val="0"/>
          <w:kern w:val="0"/>
          <w:sz w:val="32"/>
          <w:szCs w:val="32"/>
          <w:u w:val="none"/>
        </w:rPr>
        <w:t>构建“</w:t>
      </w:r>
      <w:r>
        <w:rPr>
          <w:rFonts w:hint="eastAsia" w:cs="Times New Roman"/>
          <w:b w:val="0"/>
          <w:bCs w:val="0"/>
          <w:kern w:val="0"/>
          <w:sz w:val="32"/>
          <w:szCs w:val="32"/>
          <w:u w:val="none"/>
        </w:rPr>
        <w:t>3</w:t>
      </w:r>
      <w:r>
        <w:rPr>
          <w:rFonts w:hint="eastAsia" w:ascii="仿宋_GB2312" w:hAnsi="仿宋" w:cs="Times New Roman"/>
          <w:b w:val="0"/>
          <w:bCs w:val="0"/>
          <w:kern w:val="0"/>
          <w:sz w:val="32"/>
          <w:szCs w:val="32"/>
          <w:u w:val="none"/>
        </w:rPr>
        <w:t>+</w:t>
      </w:r>
      <w:r>
        <w:rPr>
          <w:rFonts w:hint="eastAsia" w:cs="Times New Roman"/>
          <w:b w:val="0"/>
          <w:bCs w:val="0"/>
          <w:kern w:val="0"/>
          <w:sz w:val="32"/>
          <w:szCs w:val="32"/>
          <w:u w:val="none"/>
        </w:rPr>
        <w:t>4</w:t>
      </w:r>
      <w:r>
        <w:rPr>
          <w:rFonts w:hint="eastAsia" w:ascii="仿宋_GB2312" w:hAnsi="仿宋" w:cs="Times New Roman"/>
          <w:b w:val="0"/>
          <w:bCs w:val="0"/>
          <w:kern w:val="0"/>
          <w:sz w:val="32"/>
          <w:szCs w:val="32"/>
          <w:u w:val="none"/>
        </w:rPr>
        <w:t>+</w:t>
      </w:r>
      <w:r>
        <w:rPr>
          <w:rFonts w:hint="eastAsia" w:cs="Times New Roman"/>
          <w:b w:val="0"/>
          <w:bCs w:val="0"/>
          <w:kern w:val="0"/>
          <w:sz w:val="32"/>
          <w:szCs w:val="32"/>
          <w:u w:val="none"/>
        </w:rPr>
        <w:t>9</w:t>
      </w:r>
      <w:r>
        <w:rPr>
          <w:rFonts w:hint="eastAsia" w:ascii="仿宋_GB2312" w:hAnsi="仿宋" w:cs="Times New Roman"/>
          <w:b w:val="0"/>
          <w:bCs w:val="0"/>
          <w:kern w:val="0"/>
          <w:sz w:val="32"/>
          <w:szCs w:val="32"/>
          <w:u w:val="none"/>
        </w:rPr>
        <w:t>”的物流枢纽格局。依托交通枢纽、产业布局，打造物流商务区、物流园区、共配中心三级物流体系。包含港珠澳、空港、高栏港</w:t>
      </w:r>
      <w:r>
        <w:rPr>
          <w:rFonts w:hint="eastAsia" w:cs="Times New Roman"/>
          <w:b w:val="0"/>
          <w:bCs w:val="0"/>
          <w:kern w:val="0"/>
          <w:sz w:val="32"/>
          <w:szCs w:val="32"/>
          <w:u w:val="none"/>
        </w:rPr>
        <w:t>3</w:t>
      </w:r>
      <w:r>
        <w:rPr>
          <w:rFonts w:hint="eastAsia" w:ascii="仿宋_GB2312" w:hAnsi="仿宋" w:cs="Times New Roman"/>
          <w:b w:val="0"/>
          <w:bCs w:val="0"/>
          <w:kern w:val="0"/>
          <w:sz w:val="32"/>
          <w:szCs w:val="32"/>
          <w:u w:val="none"/>
        </w:rPr>
        <w:t>大国际物流商务区，富山、斗门港、金鼎、桂山港等</w:t>
      </w:r>
      <w:r>
        <w:rPr>
          <w:rFonts w:hint="eastAsia" w:cs="Times New Roman"/>
          <w:b w:val="0"/>
          <w:bCs w:val="0"/>
          <w:kern w:val="0"/>
          <w:sz w:val="32"/>
          <w:szCs w:val="32"/>
          <w:u w:val="none"/>
        </w:rPr>
        <w:t>4</w:t>
      </w:r>
      <w:r>
        <w:rPr>
          <w:rFonts w:hint="eastAsia" w:ascii="仿宋_GB2312" w:hAnsi="仿宋" w:cs="Times New Roman"/>
          <w:b w:val="0"/>
          <w:bCs w:val="0"/>
          <w:kern w:val="0"/>
          <w:sz w:val="32"/>
          <w:szCs w:val="32"/>
          <w:u w:val="none"/>
        </w:rPr>
        <w:t>处物流园区，以及莲洲、上冲、唐家湾等</w:t>
      </w:r>
      <w:r>
        <w:rPr>
          <w:rFonts w:hint="eastAsia" w:cs="Times New Roman"/>
          <w:b w:val="0"/>
          <w:bCs w:val="0"/>
          <w:kern w:val="0"/>
          <w:sz w:val="32"/>
          <w:szCs w:val="32"/>
          <w:u w:val="none"/>
        </w:rPr>
        <w:t>9</w:t>
      </w:r>
      <w:r>
        <w:rPr>
          <w:rFonts w:hint="eastAsia" w:ascii="仿宋_GB2312" w:hAnsi="仿宋" w:cs="Times New Roman"/>
          <w:b w:val="0"/>
          <w:bCs w:val="0"/>
          <w:kern w:val="0"/>
          <w:sz w:val="32"/>
          <w:szCs w:val="32"/>
          <w:u w:val="none"/>
        </w:rPr>
        <w:t>个共配中心，详见专栏</w:t>
      </w:r>
      <w:r>
        <w:rPr>
          <w:rFonts w:hint="eastAsia" w:cs="Times New Roman"/>
          <w:b w:val="0"/>
          <w:bCs w:val="0"/>
          <w:kern w:val="0"/>
          <w:sz w:val="32"/>
          <w:szCs w:val="32"/>
          <w:u w:val="none"/>
        </w:rPr>
        <w:t>1</w:t>
      </w:r>
      <w:r>
        <w:rPr>
          <w:rFonts w:cs="Times New Roman"/>
          <w:b w:val="0"/>
          <w:bCs w:val="0"/>
          <w:kern w:val="0"/>
          <w:sz w:val="32"/>
          <w:szCs w:val="32"/>
          <w:u w:val="none"/>
        </w:rPr>
        <w:t>0</w:t>
      </w:r>
      <w:r>
        <w:rPr>
          <w:rFonts w:ascii="仿宋_GB2312" w:hAnsi="仿宋" w:cs="Times New Roman"/>
          <w:b w:val="0"/>
          <w:bCs w:val="0"/>
          <w:kern w:val="0"/>
          <w:sz w:val="32"/>
          <w:szCs w:val="32"/>
          <w:u w:val="none"/>
        </w:rPr>
        <w:t>-</w:t>
      </w:r>
      <w:r>
        <w:rPr>
          <w:rFonts w:cs="Times New Roman"/>
          <w:b w:val="0"/>
          <w:bCs w:val="0"/>
          <w:kern w:val="0"/>
          <w:sz w:val="32"/>
          <w:szCs w:val="32"/>
          <w:u w:val="none"/>
        </w:rPr>
        <w:t>4</w:t>
      </w:r>
      <w:r>
        <w:rPr>
          <w:rFonts w:hint="eastAsia" w:ascii="仿宋_GB2312" w:hAnsi="仿宋" w:cs="Times New Roman"/>
          <w:b w:val="0"/>
          <w:bCs w:val="0"/>
          <w:kern w:val="0"/>
          <w:sz w:val="32"/>
          <w:szCs w:val="32"/>
          <w:u w:val="none"/>
        </w:rPr>
        <w:t>。</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5"/>
        <w:gridCol w:w="6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29" w:hRule="atLeast"/>
        </w:trPr>
        <w:tc>
          <w:tcPr>
            <w:tcW w:w="9300" w:type="dxa"/>
            <w:gridSpan w:val="2"/>
            <w:shd w:val="clear" w:color="auto" w:fill="D9D9D9"/>
            <w:noWrap w:val="0"/>
            <w:vAlign w:val="center"/>
          </w:tcPr>
          <w:p>
            <w:pPr>
              <w:spacing w:before="46" w:after="46"/>
              <w:ind w:firstLine="0" w:firstLineChars="0"/>
              <w:jc w:val="center"/>
              <w:rPr>
                <w:rFonts w:hint="eastAsia" w:cs="Times New Roman"/>
                <w:b w:val="0"/>
                <w:bCs w:val="0"/>
                <w:kern w:val="0"/>
                <w:sz w:val="22"/>
                <w:u w:val="none"/>
              </w:rPr>
            </w:pPr>
            <w:r>
              <w:rPr>
                <w:rFonts w:hint="eastAsia" w:eastAsia="黑体" w:cs="Times New Roman"/>
                <w:b w:val="0"/>
                <w:bCs w:val="0"/>
                <w:kern w:val="0"/>
                <w:u w:val="none"/>
              </w:rPr>
              <w:t>专栏1</w:t>
            </w:r>
            <w:r>
              <w:rPr>
                <w:rFonts w:eastAsia="黑体" w:cs="Times New Roman"/>
                <w:b w:val="0"/>
                <w:bCs w:val="0"/>
                <w:kern w:val="0"/>
                <w:u w:val="none"/>
              </w:rPr>
              <w:t>0-4</w:t>
            </w:r>
            <w:r>
              <w:rPr>
                <w:rFonts w:hint="eastAsia" w:eastAsia="黑体" w:cs="Times New Roman"/>
                <w:b w:val="0"/>
                <w:bCs w:val="0"/>
                <w:kern w:val="0"/>
                <w:u w:val="none"/>
              </w:rPr>
              <w:t>： 三级货运</w:t>
            </w:r>
            <w:r>
              <w:rPr>
                <w:rFonts w:eastAsia="黑体" w:cs="Times New Roman"/>
                <w:b w:val="0"/>
                <w:bCs w:val="0"/>
                <w:kern w:val="0"/>
                <w:u w:val="none"/>
              </w:rPr>
              <w:t>场站体系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6" w:hRule="atLeast"/>
        </w:trPr>
        <w:tc>
          <w:tcPr>
            <w:tcW w:w="2625" w:type="dxa"/>
            <w:noWrap w:val="0"/>
            <w:vAlign w:val="center"/>
          </w:tcPr>
          <w:p>
            <w:pPr>
              <w:pStyle w:val="8"/>
              <w:rPr>
                <w:b w:val="0"/>
                <w:bCs w:val="0"/>
                <w:u w:val="none"/>
              </w:rPr>
            </w:pPr>
            <w:r>
              <w:rPr>
                <w:rFonts w:hint="eastAsia"/>
                <w:b w:val="0"/>
                <w:bCs w:val="0"/>
                <w:u w:val="none"/>
              </w:rPr>
              <w:t>类型</w:t>
            </w:r>
          </w:p>
        </w:tc>
        <w:tc>
          <w:tcPr>
            <w:tcW w:w="6675" w:type="dxa"/>
            <w:noWrap w:val="0"/>
            <w:vAlign w:val="center"/>
          </w:tcPr>
          <w:p>
            <w:pPr>
              <w:pStyle w:val="8"/>
              <w:rPr>
                <w:b w:val="0"/>
                <w:bCs w:val="0"/>
                <w:u w:val="none"/>
              </w:rPr>
            </w:pPr>
            <w:r>
              <w:rPr>
                <w:rFonts w:hint="eastAsia"/>
                <w:b w:val="0"/>
                <w:bCs w:val="0"/>
                <w:u w:val="none"/>
              </w:rPr>
              <w:t>货运场站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1" w:hRule="atLeast"/>
        </w:trPr>
        <w:tc>
          <w:tcPr>
            <w:tcW w:w="2625" w:type="dxa"/>
            <w:noWrap w:val="0"/>
            <w:vAlign w:val="center"/>
          </w:tcPr>
          <w:p>
            <w:pPr>
              <w:pStyle w:val="8"/>
              <w:rPr>
                <w:rFonts w:hint="eastAsia"/>
                <w:b w:val="0"/>
                <w:bCs w:val="0"/>
                <w:u w:val="none"/>
              </w:rPr>
            </w:pPr>
            <w:r>
              <w:rPr>
                <w:rFonts w:hint="eastAsia"/>
                <w:b w:val="0"/>
                <w:bCs w:val="0"/>
                <w:u w:val="none"/>
              </w:rPr>
              <w:t>国际物流</w:t>
            </w:r>
            <w:r>
              <w:rPr>
                <w:b w:val="0"/>
                <w:bCs w:val="0"/>
                <w:u w:val="none"/>
              </w:rPr>
              <w:t>商务区</w:t>
            </w:r>
          </w:p>
        </w:tc>
        <w:tc>
          <w:tcPr>
            <w:tcW w:w="6675" w:type="dxa"/>
            <w:noWrap w:val="0"/>
            <w:vAlign w:val="center"/>
          </w:tcPr>
          <w:p>
            <w:pPr>
              <w:pStyle w:val="8"/>
              <w:rPr>
                <w:b w:val="0"/>
                <w:bCs w:val="0"/>
                <w:u w:val="none"/>
              </w:rPr>
            </w:pPr>
            <w:r>
              <w:rPr>
                <w:rFonts w:hint="eastAsia"/>
                <w:b w:val="0"/>
                <w:bCs w:val="0"/>
                <w:u w:val="none"/>
              </w:rPr>
              <w:t>港珠澳国际物流商务区、空港国际物流商务区、高栏港国际物流商务区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6" w:hRule="atLeast"/>
        </w:trPr>
        <w:tc>
          <w:tcPr>
            <w:tcW w:w="2625" w:type="dxa"/>
            <w:noWrap w:val="0"/>
            <w:vAlign w:val="center"/>
          </w:tcPr>
          <w:p>
            <w:pPr>
              <w:pStyle w:val="8"/>
              <w:rPr>
                <w:b w:val="0"/>
                <w:bCs w:val="0"/>
                <w:u w:val="none"/>
              </w:rPr>
            </w:pPr>
            <w:r>
              <w:rPr>
                <w:rFonts w:hint="eastAsia"/>
                <w:b w:val="0"/>
                <w:bCs w:val="0"/>
                <w:u w:val="none"/>
              </w:rPr>
              <w:t>物流园区</w:t>
            </w:r>
          </w:p>
        </w:tc>
        <w:tc>
          <w:tcPr>
            <w:tcW w:w="6675" w:type="dxa"/>
            <w:noWrap w:val="0"/>
            <w:vAlign w:val="center"/>
          </w:tcPr>
          <w:p>
            <w:pPr>
              <w:pStyle w:val="8"/>
              <w:rPr>
                <w:b w:val="0"/>
                <w:bCs w:val="0"/>
                <w:u w:val="none"/>
              </w:rPr>
            </w:pPr>
            <w:r>
              <w:rPr>
                <w:rFonts w:hint="eastAsia"/>
                <w:b w:val="0"/>
                <w:bCs w:val="0"/>
                <w:u w:val="none"/>
              </w:rPr>
              <w:t>富山物流园、斗门港物流园、金鼎物流园、桂山港物流园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92" w:hRule="atLeast"/>
        </w:trPr>
        <w:tc>
          <w:tcPr>
            <w:tcW w:w="2625" w:type="dxa"/>
            <w:noWrap w:val="0"/>
            <w:vAlign w:val="center"/>
          </w:tcPr>
          <w:p>
            <w:pPr>
              <w:pStyle w:val="8"/>
              <w:rPr>
                <w:rFonts w:hint="eastAsia"/>
                <w:b w:val="0"/>
                <w:bCs w:val="0"/>
                <w:u w:val="none"/>
              </w:rPr>
            </w:pPr>
            <w:r>
              <w:rPr>
                <w:rFonts w:hint="eastAsia"/>
                <w:b w:val="0"/>
                <w:bCs w:val="0"/>
                <w:u w:val="none"/>
              </w:rPr>
              <w:t>共配</w:t>
            </w:r>
            <w:r>
              <w:rPr>
                <w:b w:val="0"/>
                <w:bCs w:val="0"/>
                <w:u w:val="none"/>
              </w:rPr>
              <w:t>中心</w:t>
            </w:r>
          </w:p>
        </w:tc>
        <w:tc>
          <w:tcPr>
            <w:tcW w:w="6675" w:type="dxa"/>
            <w:noWrap w:val="0"/>
            <w:vAlign w:val="center"/>
          </w:tcPr>
          <w:p>
            <w:pPr>
              <w:pStyle w:val="8"/>
              <w:rPr>
                <w:rFonts w:hint="eastAsia"/>
                <w:b w:val="0"/>
                <w:bCs w:val="0"/>
                <w:u w:val="none"/>
              </w:rPr>
            </w:pPr>
            <w:r>
              <w:rPr>
                <w:rFonts w:hint="eastAsia"/>
                <w:b w:val="0"/>
                <w:bCs w:val="0"/>
                <w:u w:val="none"/>
              </w:rPr>
              <w:t>虎山、金湾、斗门、莲洲、白蕉、南屏、拱北、上冲及唐家湾配送中心</w:t>
            </w:r>
          </w:p>
        </w:tc>
      </w:tr>
    </w:tbl>
    <w:p>
      <w:pPr>
        <w:keepNext w:val="0"/>
        <w:keepLines w:val="0"/>
        <w:pageBreakBefore w:val="0"/>
        <w:widowControl w:val="0"/>
        <w:kinsoku/>
        <w:wordWrap/>
        <w:overflowPunct/>
        <w:topLinePunct w:val="0"/>
        <w:bidi w:val="0"/>
        <w:adjustRightInd/>
        <w:snapToGrid/>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完善三级货运通道布局。依托机场、港口，打造</w:t>
      </w:r>
      <w:r>
        <w:rPr>
          <w:rFonts w:hint="eastAsia"/>
          <w:b w:val="0"/>
          <w:bCs w:val="0"/>
          <w:sz w:val="32"/>
          <w:szCs w:val="32"/>
          <w:u w:val="none"/>
        </w:rPr>
        <w:t>联通</w:t>
      </w:r>
      <w:r>
        <w:rPr>
          <w:rFonts w:hint="eastAsia" w:ascii="仿宋_GB2312" w:hAnsi="仿宋" w:cs="Times New Roman"/>
          <w:b w:val="0"/>
          <w:bCs w:val="0"/>
          <w:kern w:val="0"/>
          <w:sz w:val="32"/>
          <w:szCs w:val="32"/>
          <w:u w:val="none"/>
        </w:rPr>
        <w:t>全球的国际货运大通道；依托机场、港口、铁路和高速公路，打造区域互联互通的货运主通道；依托市域骨干路网，形成便捷高效的市域货运集散通道。</w:t>
      </w:r>
    </w:p>
    <w:p>
      <w:pPr>
        <w:keepNext w:val="0"/>
        <w:keepLines w:val="0"/>
        <w:pageBreakBefore w:val="0"/>
        <w:widowControl w:val="0"/>
        <w:kinsoku/>
        <w:wordWrap/>
        <w:overflowPunct/>
        <w:topLinePunct w:val="0"/>
        <w:bidi w:val="0"/>
        <w:adjustRightInd/>
        <w:snapToGrid/>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严格货运管理措施。实施分区、分时、分路段差异化的货运交通管理措施，减少货运交通对城市中心区、居民区以及城市客运交通高峰时段、重要干路的干扰，实现客货分离。</w:t>
      </w:r>
    </w:p>
    <w:p>
      <w:pPr>
        <w:pStyle w:val="85"/>
        <w:keepNext w:val="0"/>
        <w:keepLines w:val="0"/>
        <w:pageBreakBefore w:val="0"/>
        <w:widowControl w:val="0"/>
        <w:kinsoku/>
        <w:wordWrap/>
        <w:overflowPunct/>
        <w:topLinePunct w:val="0"/>
        <w:bidi w:val="0"/>
        <w:adjustRightInd/>
        <w:snapToGrid/>
        <w:spacing w:before="0" w:beforeLines="0" w:after="0" w:afterLines="0" w:line="579" w:lineRule="exact"/>
        <w:ind w:left="198" w:leftChars="0" w:firstLineChars="0"/>
        <w:textAlignment w:val="auto"/>
        <w:rPr>
          <w:rFonts w:hint="eastAsia"/>
          <w:b w:val="0"/>
          <w:bCs w:val="0"/>
          <w:sz w:val="32"/>
          <w:szCs w:val="32"/>
          <w:u w:val="none"/>
          <w:lang w:val="en-US"/>
        </w:rPr>
      </w:pPr>
      <w:bookmarkStart w:id="260" w:name="_Toc188"/>
      <w:bookmarkStart w:id="261" w:name="_Toc142402730"/>
      <w:r>
        <w:rPr>
          <w:rFonts w:hint="eastAsia"/>
          <w:b w:val="0"/>
          <w:bCs w:val="0"/>
          <w:sz w:val="32"/>
          <w:szCs w:val="32"/>
          <w:u w:val="none"/>
        </w:rPr>
        <w:t>建立智慧高效的交通</w:t>
      </w:r>
      <w:r>
        <w:rPr>
          <w:rFonts w:hint="eastAsia"/>
          <w:b w:val="0"/>
          <w:bCs w:val="0"/>
          <w:sz w:val="32"/>
          <w:szCs w:val="32"/>
          <w:u w:val="none"/>
          <w:lang w:val="en-US"/>
        </w:rPr>
        <w:t>管理</w:t>
      </w:r>
      <w:r>
        <w:rPr>
          <w:rFonts w:hint="eastAsia"/>
          <w:b w:val="0"/>
          <w:bCs w:val="0"/>
          <w:sz w:val="32"/>
          <w:szCs w:val="32"/>
          <w:u w:val="none"/>
        </w:rPr>
        <w:t>体制</w:t>
      </w:r>
      <w:bookmarkEnd w:id="260"/>
      <w:bookmarkEnd w:id="261"/>
    </w:p>
    <w:p>
      <w:pPr>
        <w:keepNext w:val="0"/>
        <w:keepLines w:val="0"/>
        <w:pageBreakBefore w:val="0"/>
        <w:widowControl w:val="0"/>
        <w:kinsoku/>
        <w:wordWrap/>
        <w:overflowPunct/>
        <w:topLinePunct w:val="0"/>
        <w:bidi w:val="0"/>
        <w:adjustRightInd/>
        <w:snapToGrid/>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推动交通需求管理政策的制定。推进交通需求管理政策措施研究，利用经济、科技、行政等手段，调控出行规模、结构和方式，引导低碳、经济、健康出行。</w:t>
      </w:r>
    </w:p>
    <w:p>
      <w:pPr>
        <w:keepNext w:val="0"/>
        <w:keepLines w:val="0"/>
        <w:pageBreakBefore w:val="0"/>
        <w:widowControl w:val="0"/>
        <w:kinsoku/>
        <w:wordWrap/>
        <w:overflowPunct/>
        <w:topLinePunct w:val="0"/>
        <w:bidi w:val="0"/>
        <w:adjustRightInd/>
        <w:snapToGrid/>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构建珠海特色智慧交通服务系统。加大智慧交通基础设施投入，加强大数据平台、智能停车、智能公交系统等智能交管系统研发应用，创新发展智慧交通实验区、交通大脑、无人驾驶、新型交通工具等新技术，全面拓展智慧交通应用场景。</w:t>
      </w:r>
    </w:p>
    <w:p>
      <w:pPr>
        <w:keepNext w:val="0"/>
        <w:keepLines w:val="0"/>
        <w:pageBreakBefore w:val="0"/>
        <w:widowControl w:val="0"/>
        <w:kinsoku/>
        <w:wordWrap/>
        <w:overflowPunct/>
        <w:topLinePunct w:val="0"/>
        <w:bidi w:val="0"/>
        <w:adjustRightInd/>
        <w:snapToGrid/>
        <w:spacing w:line="579" w:lineRule="exact"/>
        <w:ind w:firstLine="602"/>
        <w:textAlignment w:val="auto"/>
        <w:rPr>
          <w:rFonts w:hint="eastAsia"/>
          <w:b w:val="0"/>
          <w:bCs w:val="0"/>
          <w:sz w:val="32"/>
          <w:szCs w:val="32"/>
          <w:u w:val="none"/>
        </w:rPr>
      </w:pPr>
      <w:r>
        <w:rPr>
          <w:rFonts w:hint="eastAsia" w:ascii="仿宋_GB2312" w:hAnsi="仿宋" w:cs="Times New Roman"/>
          <w:b w:val="0"/>
          <w:bCs w:val="0"/>
          <w:kern w:val="0"/>
          <w:sz w:val="32"/>
          <w:szCs w:val="32"/>
          <w:u w:val="none"/>
        </w:rPr>
        <w:t>加强黄线设施规划与管控。推进黄线设施规划维护，开展公交场站规划编制，将机场、港口、口岸、轨道交通车辆段基地、客货运场站、公交场站等交通场站设施以及铁路、高快速路纳入黄线，严格管控。黄线范围内的建设活动不得影响交通设施的实施和运营安全。</w:t>
      </w:r>
    </w:p>
    <w:p>
      <w:pPr>
        <w:pStyle w:val="7"/>
        <w:keepNext w:val="0"/>
        <w:keepLines w:val="0"/>
        <w:pageBreakBefore w:val="0"/>
        <w:widowControl w:val="0"/>
        <w:kinsoku/>
        <w:wordWrap/>
        <w:overflowPunct/>
        <w:topLinePunct w:val="0"/>
        <w:bidi w:val="0"/>
        <w:adjustRightInd/>
        <w:snapToGrid/>
        <w:spacing w:line="579" w:lineRule="exact"/>
        <w:ind w:firstLine="0" w:firstLineChars="0"/>
        <w:textAlignment w:val="auto"/>
        <w:rPr>
          <w:rFonts w:hint="eastAsia" w:ascii="仿宋_GB2312"/>
          <w:b w:val="0"/>
          <w:bCs w:val="0"/>
          <w:color w:val="auto"/>
          <w:u w:val="none"/>
        </w:rPr>
        <w:sectPr>
          <w:pgSz w:w="11906" w:h="16838"/>
          <w:pgMar w:top="2041" w:right="1531" w:bottom="2041" w:left="1531" w:header="851" w:footer="1531" w:gutter="0"/>
          <w:paperSrc/>
          <w:pgNumType w:fmt="decimal"/>
          <w:cols w:space="720" w:num="1"/>
          <w:rtlGutter w:val="0"/>
          <w:docGrid w:type="linesAndChars" w:linePitch="607" w:charSpace="0"/>
        </w:sectPr>
      </w:pP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79" w:lineRule="exact"/>
        <w:textAlignment w:val="auto"/>
        <w:rPr>
          <w:rFonts w:hint="eastAsia" w:ascii="方正小标宋简体" w:hAnsi="方正小标宋简体" w:eastAsia="方正小标宋简体" w:cs="方正小标宋简体"/>
          <w:b w:val="0"/>
          <w:bCs w:val="0"/>
          <w:sz w:val="44"/>
          <w:szCs w:val="44"/>
          <w:u w:val="none"/>
        </w:rPr>
      </w:pPr>
      <w:bookmarkStart w:id="262" w:name="_Toc11427"/>
      <w:r>
        <w:rPr>
          <w:rFonts w:hint="eastAsia" w:ascii="方正小标宋简体" w:hAnsi="方正小标宋简体" w:eastAsia="方正小标宋简体" w:cs="方正小标宋简体"/>
          <w:b w:val="0"/>
          <w:bCs w:val="0"/>
          <w:sz w:val="44"/>
          <w:szCs w:val="44"/>
          <w:u w:val="none"/>
        </w:rPr>
        <w:t>市政基础设施和综合防灾</w:t>
      </w:r>
      <w:bookmarkEnd w:id="262"/>
    </w:p>
    <w:p>
      <w:pPr>
        <w:pStyle w:val="81"/>
        <w:keepNext w:val="0"/>
        <w:keepLines w:val="0"/>
        <w:pageBreakBefore w:val="0"/>
        <w:widowControl w:val="0"/>
        <w:numPr>
          <w:ilvl w:val="0"/>
          <w:numId w:val="13"/>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263" w:name="_Toc25688"/>
      <w:r>
        <w:rPr>
          <w:rFonts w:hint="eastAsia"/>
          <w:b w:val="0"/>
          <w:bCs w:val="0"/>
          <w:sz w:val="32"/>
          <w:szCs w:val="32"/>
          <w:u w:val="none"/>
        </w:rPr>
        <w:t>市政基础设施</w:t>
      </w:r>
      <w:bookmarkEnd w:id="263"/>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264" w:name="_Toc5679"/>
      <w:r>
        <w:rPr>
          <w:rFonts w:hint="eastAsia"/>
          <w:b w:val="0"/>
          <w:bCs w:val="0"/>
          <w:sz w:val="32"/>
          <w:szCs w:val="32"/>
          <w:u w:val="none"/>
        </w:rPr>
        <w:t>构建安全可靠的</w:t>
      </w:r>
      <w:r>
        <w:rPr>
          <w:rFonts w:hint="eastAsia"/>
          <w:b w:val="0"/>
          <w:bCs w:val="0"/>
          <w:sz w:val="32"/>
          <w:szCs w:val="32"/>
          <w:u w:val="none"/>
          <w:lang w:val="en-US"/>
        </w:rPr>
        <w:t>供水</w:t>
      </w:r>
      <w:r>
        <w:rPr>
          <w:rFonts w:hint="eastAsia"/>
          <w:b w:val="0"/>
          <w:bCs w:val="0"/>
          <w:sz w:val="32"/>
          <w:szCs w:val="32"/>
          <w:u w:val="none"/>
        </w:rPr>
        <w:t>系统</w:t>
      </w:r>
      <w:bookmarkEnd w:id="264"/>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 w:hAnsi="仿宋" w:cs="Times New Roman"/>
          <w:b w:val="0"/>
          <w:bCs w:val="0"/>
          <w:kern w:val="0"/>
          <w:sz w:val="32"/>
          <w:szCs w:val="32"/>
          <w:u w:val="none"/>
        </w:rPr>
      </w:pPr>
      <w:r>
        <w:rPr>
          <w:rFonts w:hint="eastAsia" w:ascii="仿宋" w:hAnsi="仿宋" w:cs="Times New Roman"/>
          <w:b w:val="0"/>
          <w:bCs w:val="0"/>
          <w:kern w:val="0"/>
          <w:sz w:val="32"/>
          <w:szCs w:val="32"/>
          <w:u w:val="none"/>
        </w:rPr>
        <w:t>优化</w:t>
      </w:r>
      <w:r>
        <w:rPr>
          <w:rFonts w:ascii="仿宋" w:hAnsi="仿宋" w:cs="Times New Roman"/>
          <w:b w:val="0"/>
          <w:bCs w:val="0"/>
          <w:kern w:val="0"/>
          <w:sz w:val="32"/>
          <w:szCs w:val="32"/>
          <w:u w:val="none"/>
        </w:rPr>
        <w:t>原水保障格局</w:t>
      </w:r>
      <w:r>
        <w:rPr>
          <w:rFonts w:hint="eastAsia" w:ascii="仿宋" w:hAnsi="仿宋" w:cs="Times New Roman"/>
          <w:b w:val="0"/>
          <w:bCs w:val="0"/>
          <w:kern w:val="0"/>
          <w:sz w:val="32"/>
          <w:szCs w:val="32"/>
          <w:u w:val="none"/>
        </w:rPr>
        <w:t>。新建竹银水库二期和白泥坑水库、扩建乾务水库等水库，增加调咸能力；扩建平岗泵站、黄杨泵站等取水泵站，增加取水、抢淡能力；建设黄杨泵站至乾务水库原水管道</w:t>
      </w:r>
      <w:r>
        <w:rPr>
          <w:rFonts w:hint="eastAsia"/>
          <w:b w:val="0"/>
          <w:bCs w:val="0"/>
          <w:sz w:val="32"/>
          <w:szCs w:val="32"/>
          <w:u w:val="none"/>
        </w:rPr>
        <w:t>工程</w:t>
      </w:r>
      <w:r>
        <w:rPr>
          <w:rFonts w:hint="eastAsia" w:ascii="仿宋" w:hAnsi="仿宋" w:cs="Times New Roman"/>
          <w:b w:val="0"/>
          <w:bCs w:val="0"/>
          <w:kern w:val="0"/>
          <w:sz w:val="32"/>
          <w:szCs w:val="32"/>
          <w:u w:val="none"/>
        </w:rPr>
        <w:t>等输水管网，加强原水系统联通，构建“一张网”水源供水格局。至</w:t>
      </w:r>
      <w:r>
        <w:rPr>
          <w:rFonts w:hint="eastAsia" w:cs="Times New Roman"/>
          <w:b w:val="0"/>
          <w:bCs w:val="0"/>
          <w:kern w:val="0"/>
          <w:sz w:val="32"/>
          <w:szCs w:val="32"/>
          <w:u w:val="none"/>
        </w:rPr>
        <w:t>2035</w:t>
      </w:r>
      <w:r>
        <w:rPr>
          <w:rFonts w:hint="eastAsia" w:ascii="仿宋" w:hAnsi="仿宋" w:cs="Times New Roman"/>
          <w:b w:val="0"/>
          <w:bCs w:val="0"/>
          <w:kern w:val="0"/>
          <w:sz w:val="32"/>
          <w:szCs w:val="32"/>
          <w:u w:val="none"/>
        </w:rPr>
        <w:t>年，供水水源保证率</w:t>
      </w:r>
      <w:r>
        <w:rPr>
          <w:rFonts w:hint="eastAsia" w:cs="Times New Roman"/>
          <w:b w:val="0"/>
          <w:bCs w:val="0"/>
          <w:kern w:val="0"/>
          <w:sz w:val="32"/>
          <w:szCs w:val="32"/>
          <w:u w:val="none"/>
        </w:rPr>
        <w:t>98</w:t>
      </w:r>
      <w:r>
        <w:rPr>
          <w:rFonts w:hint="eastAsia" w:ascii="仿宋" w:hAnsi="仿宋" w:cs="Times New Roman"/>
          <w:b w:val="0"/>
          <w:bCs w:val="0"/>
          <w:kern w:val="0"/>
          <w:sz w:val="32"/>
          <w:szCs w:val="32"/>
          <w:u w:val="none"/>
        </w:rPr>
        <w:t>%。</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 w:hAnsi="仿宋" w:cs="Times New Roman"/>
          <w:b w:val="0"/>
          <w:bCs w:val="0"/>
          <w:kern w:val="0"/>
          <w:sz w:val="32"/>
          <w:szCs w:val="32"/>
          <w:u w:val="none"/>
        </w:rPr>
      </w:pPr>
      <w:r>
        <w:rPr>
          <w:rFonts w:hint="eastAsia" w:ascii="仿宋" w:hAnsi="仿宋" w:cs="Times New Roman"/>
          <w:b w:val="0"/>
          <w:bCs w:val="0"/>
          <w:kern w:val="0"/>
          <w:sz w:val="32"/>
          <w:szCs w:val="32"/>
          <w:u w:val="none"/>
        </w:rPr>
        <w:t>增强供水安全韧性。构建“七主四辅”的给水厂布局，提升供水安全保障能力；加强供水管网成环成网，提高供水系统</w:t>
      </w:r>
      <w:r>
        <w:rPr>
          <w:rFonts w:hint="eastAsia"/>
          <w:b w:val="0"/>
          <w:bCs w:val="0"/>
          <w:sz w:val="32"/>
          <w:szCs w:val="32"/>
          <w:u w:val="none"/>
        </w:rPr>
        <w:t>韧性</w:t>
      </w:r>
      <w:r>
        <w:rPr>
          <w:rFonts w:hint="eastAsia" w:ascii="仿宋" w:hAnsi="仿宋" w:cs="Times New Roman"/>
          <w:b w:val="0"/>
          <w:bCs w:val="0"/>
          <w:kern w:val="0"/>
          <w:sz w:val="32"/>
          <w:szCs w:val="32"/>
          <w:u w:val="none"/>
        </w:rPr>
        <w:t>；适当补充高位水池和加压泵站，增强应急调蓄和压力保障。</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65" w:name="_Toc5179"/>
      <w:r>
        <w:rPr>
          <w:rFonts w:hint="eastAsia"/>
          <w:b w:val="0"/>
          <w:bCs w:val="0"/>
          <w:sz w:val="32"/>
          <w:szCs w:val="32"/>
          <w:u w:val="none"/>
        </w:rPr>
        <w:t>建设环境友好的城乡污水系统</w:t>
      </w:r>
      <w:bookmarkEnd w:id="265"/>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系统推进水污染防治。强化源头控制、水陆统筹，构建全流域、全过程、全口径的水污染综合防治体系。深入推进工业和生活污水防治，全面控制城市和农业面源污染。加强前山河、中珠渠、那洲排洪渠-西山涌等多个流域综合治理。至</w:t>
      </w:r>
      <w:r>
        <w:rPr>
          <w:rFonts w:hint="eastAsia" w:cs="Times New Roman"/>
          <w:b w:val="0"/>
          <w:bCs w:val="0"/>
          <w:kern w:val="0"/>
          <w:sz w:val="32"/>
          <w:szCs w:val="32"/>
          <w:u w:val="none"/>
        </w:rPr>
        <w:t>2035</w:t>
      </w:r>
      <w:r>
        <w:rPr>
          <w:rFonts w:hint="eastAsia" w:ascii="仿宋_GB2312" w:hAnsi="仿宋" w:cs="Times New Roman"/>
          <w:b w:val="0"/>
          <w:bCs w:val="0"/>
          <w:kern w:val="0"/>
          <w:sz w:val="32"/>
          <w:szCs w:val="32"/>
          <w:u w:val="none"/>
        </w:rPr>
        <w:t>年，珠海市地表水功能区水质达标率达到有关目标要求，逐步恢复水生态系统功能，国家重要水功能区达标率不低于</w:t>
      </w:r>
      <w:r>
        <w:rPr>
          <w:rFonts w:hint="eastAsia" w:cs="Times New Roman"/>
          <w:b w:val="0"/>
          <w:bCs w:val="0"/>
          <w:kern w:val="0"/>
          <w:sz w:val="32"/>
          <w:szCs w:val="32"/>
          <w:u w:val="none"/>
        </w:rPr>
        <w:t>90</w:t>
      </w:r>
      <w:r>
        <w:rPr>
          <w:rFonts w:hint="eastAsia" w:ascii="仿宋_GB2312" w:hAnsi="仿宋" w:cs="Times New Roman"/>
          <w:b w:val="0"/>
          <w:bCs w:val="0"/>
          <w:kern w:val="0"/>
          <w:sz w:val="32"/>
          <w:szCs w:val="32"/>
          <w:u w:val="none"/>
        </w:rPr>
        <w:t>%。</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完善城乡污水系统。构建“集中+分散”的污水治理</w:t>
      </w:r>
      <w:r>
        <w:rPr>
          <w:rFonts w:hint="eastAsia"/>
          <w:b w:val="0"/>
          <w:bCs w:val="0"/>
          <w:sz w:val="32"/>
          <w:szCs w:val="32"/>
          <w:u w:val="none"/>
        </w:rPr>
        <w:t>格局</w:t>
      </w:r>
      <w:r>
        <w:rPr>
          <w:rFonts w:hint="eastAsia" w:ascii="仿宋_GB2312" w:hAnsi="仿宋" w:cs="Times New Roman"/>
          <w:b w:val="0"/>
          <w:bCs w:val="0"/>
          <w:kern w:val="0"/>
          <w:sz w:val="32"/>
          <w:szCs w:val="32"/>
          <w:u w:val="none"/>
        </w:rPr>
        <w:t>，完善城镇生活污水处理厂、工业园区污水处理厂协同的污水收集处理系统，提高污水处理效能。开展雨污分流改造，提升管网覆盖率和收集水平，</w:t>
      </w:r>
      <w:r>
        <w:rPr>
          <w:rFonts w:hint="eastAsia"/>
          <w:b w:val="0"/>
          <w:bCs w:val="0"/>
          <w:sz w:val="32"/>
          <w:szCs w:val="32"/>
          <w:u w:val="none"/>
        </w:rPr>
        <w:t>逐步</w:t>
      </w:r>
      <w:r>
        <w:rPr>
          <w:rFonts w:hint="eastAsia" w:ascii="仿宋_GB2312" w:hAnsi="仿宋" w:cs="Times New Roman"/>
          <w:b w:val="0"/>
          <w:bCs w:val="0"/>
          <w:kern w:val="0"/>
          <w:sz w:val="32"/>
          <w:szCs w:val="32"/>
          <w:u w:val="none"/>
        </w:rPr>
        <w:t>构建污水系统应急联通体系，提高系统安全韧性。完善污泥处理处置系统规划建设，提高污泥无害化处理水平。控制污水、污泥邻避设施环境影响。至</w:t>
      </w:r>
      <w:r>
        <w:rPr>
          <w:rFonts w:hint="eastAsia" w:cs="Times New Roman"/>
          <w:b w:val="0"/>
          <w:bCs w:val="0"/>
          <w:kern w:val="0"/>
          <w:sz w:val="32"/>
          <w:szCs w:val="32"/>
          <w:u w:val="none"/>
        </w:rPr>
        <w:t>2035</w:t>
      </w:r>
      <w:r>
        <w:rPr>
          <w:rFonts w:hint="eastAsia" w:ascii="仿宋_GB2312" w:hAnsi="仿宋" w:cs="Times New Roman"/>
          <w:b w:val="0"/>
          <w:bCs w:val="0"/>
          <w:kern w:val="0"/>
          <w:sz w:val="32"/>
          <w:szCs w:val="32"/>
          <w:u w:val="none"/>
        </w:rPr>
        <w:t>年，城市生活污水集中收集率提高到</w:t>
      </w:r>
      <w:r>
        <w:rPr>
          <w:rFonts w:hint="eastAsia" w:cs="Times New Roman"/>
          <w:b w:val="0"/>
          <w:bCs w:val="0"/>
          <w:kern w:val="0"/>
          <w:sz w:val="32"/>
          <w:szCs w:val="32"/>
          <w:u w:val="none"/>
        </w:rPr>
        <w:t>85</w:t>
      </w:r>
      <w:r>
        <w:rPr>
          <w:rFonts w:hint="eastAsia" w:ascii="仿宋_GB2312" w:hAnsi="仿宋" w:cs="Times New Roman"/>
          <w:b w:val="0"/>
          <w:bCs w:val="0"/>
          <w:kern w:val="0"/>
          <w:sz w:val="32"/>
          <w:szCs w:val="32"/>
          <w:u w:val="none"/>
        </w:rPr>
        <w:t>%、城市污水处理率达到</w:t>
      </w:r>
      <w:r>
        <w:rPr>
          <w:rFonts w:hint="eastAsia" w:cs="Times New Roman"/>
          <w:b w:val="0"/>
          <w:bCs w:val="0"/>
          <w:kern w:val="0"/>
          <w:sz w:val="32"/>
          <w:szCs w:val="32"/>
          <w:u w:val="none"/>
        </w:rPr>
        <w:t>98</w:t>
      </w:r>
      <w:r>
        <w:rPr>
          <w:rFonts w:hint="eastAsia" w:ascii="仿宋_GB2312" w:hAnsi="仿宋" w:cs="Times New Roman"/>
          <w:b w:val="0"/>
          <w:bCs w:val="0"/>
          <w:kern w:val="0"/>
          <w:sz w:val="32"/>
          <w:szCs w:val="32"/>
          <w:u w:val="none"/>
        </w:rPr>
        <w:t>%以上，再生水利用率达到</w:t>
      </w:r>
      <w:r>
        <w:rPr>
          <w:rFonts w:hint="eastAsia" w:cs="Times New Roman"/>
          <w:b w:val="0"/>
          <w:bCs w:val="0"/>
          <w:kern w:val="0"/>
          <w:sz w:val="32"/>
          <w:szCs w:val="32"/>
          <w:u w:val="none"/>
        </w:rPr>
        <w:t>25</w:t>
      </w:r>
      <w:r>
        <w:rPr>
          <w:rFonts w:hint="eastAsia" w:ascii="仿宋_GB2312" w:hAnsi="仿宋" w:cs="Times New Roman"/>
          <w:b w:val="0"/>
          <w:bCs w:val="0"/>
          <w:kern w:val="0"/>
          <w:sz w:val="32"/>
          <w:szCs w:val="32"/>
          <w:u w:val="none"/>
        </w:rPr>
        <w:t>%以上，城市污泥无害化处理率不低于</w:t>
      </w:r>
      <w:r>
        <w:rPr>
          <w:rFonts w:hint="eastAsia" w:cs="Times New Roman"/>
          <w:b w:val="0"/>
          <w:bCs w:val="0"/>
          <w:kern w:val="0"/>
          <w:sz w:val="32"/>
          <w:szCs w:val="32"/>
          <w:u w:val="none"/>
        </w:rPr>
        <w:t>98</w:t>
      </w:r>
      <w:r>
        <w:rPr>
          <w:rFonts w:hint="eastAsia" w:ascii="仿宋_GB2312" w:hAnsi="仿宋" w:cs="Times New Roman"/>
          <w:b w:val="0"/>
          <w:bCs w:val="0"/>
          <w:kern w:val="0"/>
          <w:sz w:val="32"/>
          <w:szCs w:val="32"/>
          <w:u w:val="none"/>
        </w:rPr>
        <w:t>%。</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66" w:name="_Toc17425"/>
      <w:r>
        <w:rPr>
          <w:rFonts w:hint="eastAsia"/>
          <w:b w:val="0"/>
          <w:bCs w:val="0"/>
          <w:sz w:val="32"/>
          <w:szCs w:val="32"/>
          <w:u w:val="none"/>
        </w:rPr>
        <w:t>推进海绵城市和排水防涝体系建设</w:t>
      </w:r>
      <w:bookmarkEnd w:id="266"/>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 w:hAnsi="仿宋" w:cs="Times New Roman"/>
          <w:b w:val="0"/>
          <w:bCs w:val="0"/>
          <w:kern w:val="0"/>
          <w:sz w:val="32"/>
          <w:szCs w:val="32"/>
          <w:u w:val="none"/>
        </w:rPr>
      </w:pPr>
      <w:r>
        <w:rPr>
          <w:rFonts w:hint="eastAsia" w:ascii="仿宋" w:hAnsi="仿宋" w:cs="Times New Roman"/>
          <w:b w:val="0"/>
          <w:bCs w:val="0"/>
          <w:kern w:val="0"/>
          <w:sz w:val="32"/>
          <w:szCs w:val="32"/>
          <w:u w:val="none"/>
        </w:rPr>
        <w:t>系统化推进海绵城市建设。以流域达标为核心，统筹蓝绿灰排水设施有效衔接，结合城市更新和新城建设，急缓有序、突出重点，逐步解决城市内涝、削减</w:t>
      </w:r>
      <w:r>
        <w:rPr>
          <w:rFonts w:hint="eastAsia"/>
          <w:b w:val="0"/>
          <w:bCs w:val="0"/>
          <w:sz w:val="32"/>
          <w:szCs w:val="32"/>
          <w:u w:val="none"/>
        </w:rPr>
        <w:t>雨水</w:t>
      </w:r>
      <w:r>
        <w:rPr>
          <w:rFonts w:hint="eastAsia" w:ascii="仿宋" w:hAnsi="仿宋" w:cs="Times New Roman"/>
          <w:b w:val="0"/>
          <w:bCs w:val="0"/>
          <w:kern w:val="0"/>
          <w:sz w:val="32"/>
          <w:szCs w:val="32"/>
          <w:u w:val="none"/>
        </w:rPr>
        <w:t>径流污染。至</w:t>
      </w:r>
      <w:r>
        <w:rPr>
          <w:rFonts w:hint="eastAsia" w:cs="Times New Roman"/>
          <w:b w:val="0"/>
          <w:bCs w:val="0"/>
          <w:kern w:val="0"/>
          <w:sz w:val="32"/>
          <w:szCs w:val="32"/>
          <w:u w:val="none"/>
        </w:rPr>
        <w:t>2035</w:t>
      </w:r>
      <w:r>
        <w:rPr>
          <w:rFonts w:hint="eastAsia" w:ascii="仿宋" w:hAnsi="仿宋" w:cs="Times New Roman"/>
          <w:b w:val="0"/>
          <w:bCs w:val="0"/>
          <w:kern w:val="0"/>
          <w:sz w:val="32"/>
          <w:szCs w:val="32"/>
          <w:u w:val="none"/>
        </w:rPr>
        <w:t>年，降雨就地消纳率达到</w:t>
      </w:r>
      <w:r>
        <w:rPr>
          <w:rFonts w:hint="eastAsia" w:cs="Times New Roman"/>
          <w:b w:val="0"/>
          <w:bCs w:val="0"/>
          <w:kern w:val="0"/>
          <w:sz w:val="32"/>
          <w:szCs w:val="32"/>
          <w:u w:val="none"/>
        </w:rPr>
        <w:t>80</w:t>
      </w:r>
      <w:r>
        <w:rPr>
          <w:rFonts w:hint="eastAsia" w:ascii="仿宋" w:hAnsi="仿宋" w:cs="Times New Roman"/>
          <w:b w:val="0"/>
          <w:bCs w:val="0"/>
          <w:kern w:val="0"/>
          <w:sz w:val="32"/>
          <w:szCs w:val="32"/>
          <w:u w:val="none"/>
        </w:rPr>
        <w:t>%以上。</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 w:hAnsi="仿宋" w:cs="Times New Roman"/>
          <w:b w:val="0"/>
          <w:bCs w:val="0"/>
          <w:kern w:val="0"/>
          <w:sz w:val="32"/>
          <w:szCs w:val="32"/>
          <w:u w:val="none"/>
        </w:rPr>
      </w:pPr>
      <w:r>
        <w:rPr>
          <w:rFonts w:hint="eastAsia" w:ascii="仿宋" w:hAnsi="仿宋" w:cs="Times New Roman"/>
          <w:b w:val="0"/>
          <w:bCs w:val="0"/>
          <w:kern w:val="0"/>
          <w:sz w:val="32"/>
          <w:szCs w:val="32"/>
          <w:u w:val="none"/>
        </w:rPr>
        <w:t>构建全过程精细化管理的排水防涝体系。加强雨水径流源头控制，推进管网建设与改造，实现城区雨水管网全覆盖，挖掘城市绿色雨水调蓄空间。推进排涝通道建设，强化蓄排平衡，协调推进城市河道、湖塘、湿地和排涝泵站等建设。实现“源头减排、过程控制、系统治理”的全过程雨水控制和管理。</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 w:hAnsi="仿宋" w:cs="Times New Roman"/>
          <w:b w:val="0"/>
          <w:bCs w:val="0"/>
          <w:kern w:val="0"/>
          <w:sz w:val="32"/>
          <w:szCs w:val="32"/>
          <w:u w:val="none"/>
        </w:rPr>
      </w:pPr>
      <w:r>
        <w:rPr>
          <w:rFonts w:hint="eastAsia" w:ascii="仿宋" w:hAnsi="仿宋" w:cs="Times New Roman"/>
          <w:b w:val="0"/>
          <w:bCs w:val="0"/>
          <w:kern w:val="0"/>
          <w:sz w:val="32"/>
          <w:szCs w:val="32"/>
          <w:u w:val="none"/>
        </w:rPr>
        <w:t>因地制宜选用技术措施。采用“渗、滞、蓄、净、用、排”等措施，增强雨水就地消纳和滞蓄能力。加强滨海城市软弱地基区域海绵城市建设适宜性技术研究，探索乡村、海岛</w:t>
      </w:r>
      <w:r>
        <w:rPr>
          <w:rFonts w:hint="eastAsia"/>
          <w:b w:val="0"/>
          <w:bCs w:val="0"/>
          <w:sz w:val="32"/>
          <w:szCs w:val="32"/>
          <w:u w:val="none"/>
        </w:rPr>
        <w:t>海绵</w:t>
      </w:r>
      <w:r>
        <w:rPr>
          <w:rFonts w:hint="eastAsia" w:ascii="仿宋" w:hAnsi="仿宋" w:cs="Times New Roman"/>
          <w:b w:val="0"/>
          <w:bCs w:val="0"/>
          <w:kern w:val="0"/>
          <w:sz w:val="32"/>
          <w:szCs w:val="32"/>
          <w:u w:val="none"/>
        </w:rPr>
        <w:t>城市建设方式。</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67" w:name="_Toc18571"/>
      <w:r>
        <w:rPr>
          <w:rFonts w:hint="eastAsia"/>
          <w:b w:val="0"/>
          <w:bCs w:val="0"/>
          <w:sz w:val="32"/>
          <w:szCs w:val="32"/>
          <w:u w:val="none"/>
        </w:rPr>
        <w:t>构建安全低碳的现代能源供应体系</w:t>
      </w:r>
      <w:bookmarkEnd w:id="267"/>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建立传统能源、可再生能源协调发展的多元供给体系。高效清洁利用传统化石能源，推广应用成熟先进能源利用技术，增强能源供应和保障能力。大力发展清洁能源，支持副产氢气企业建设氢气提纯装置，积极发展生物质能发电、分布式</w:t>
      </w:r>
      <w:r>
        <w:rPr>
          <w:rFonts w:hint="eastAsia"/>
          <w:b w:val="0"/>
          <w:bCs w:val="0"/>
          <w:sz w:val="32"/>
          <w:szCs w:val="32"/>
          <w:u w:val="none"/>
        </w:rPr>
        <w:t>综合</w:t>
      </w:r>
      <w:r>
        <w:rPr>
          <w:rFonts w:hint="eastAsia" w:ascii="仿宋_GB2312" w:hAnsi="仿宋" w:cs="Times New Roman"/>
          <w:b w:val="0"/>
          <w:bCs w:val="0"/>
          <w:kern w:val="0"/>
          <w:sz w:val="32"/>
          <w:szCs w:val="32"/>
          <w:u w:val="none"/>
        </w:rPr>
        <w:t>能源、风力发电和太阳能光伏发电，探索开发海洋能，保障大万山岛波浪能示范项目空间布局，推进能源清洁低碳化转型。</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建设坚强可靠的电力供应系统。构建安全、可靠、绿色、高效、智能的现代化智能电网。规划保障桂山海上风电项目、大湾区担杆海上风电项目、高栏海上风电项目建设，逐步形成沿海风电规模化发展格局。预控变电站建设用地，推动</w:t>
      </w:r>
      <w:r>
        <w:rPr>
          <w:rFonts w:hint="eastAsia" w:cs="Times New Roman"/>
          <w:b w:val="0"/>
          <w:bCs w:val="0"/>
          <w:kern w:val="0"/>
          <w:sz w:val="32"/>
          <w:szCs w:val="32"/>
          <w:u w:val="none"/>
        </w:rPr>
        <w:t>500</w:t>
      </w:r>
      <w:r>
        <w:rPr>
          <w:rFonts w:hint="eastAsia" w:ascii="仿宋_GB2312" w:hAnsi="仿宋" w:cs="Times New Roman"/>
          <w:b w:val="0"/>
          <w:bCs w:val="0"/>
          <w:kern w:val="0"/>
          <w:sz w:val="32"/>
          <w:szCs w:val="32"/>
          <w:u w:val="none"/>
        </w:rPr>
        <w:t>千伏金鼎站、</w:t>
      </w:r>
      <w:r>
        <w:rPr>
          <w:rFonts w:hint="eastAsia" w:cs="Times New Roman"/>
          <w:b w:val="0"/>
          <w:bCs w:val="0"/>
          <w:kern w:val="0"/>
          <w:sz w:val="32"/>
          <w:szCs w:val="32"/>
          <w:u w:val="none"/>
        </w:rPr>
        <w:t>220</w:t>
      </w:r>
      <w:r>
        <w:rPr>
          <w:rFonts w:hint="eastAsia" w:ascii="仿宋_GB2312" w:hAnsi="仿宋" w:cs="Times New Roman"/>
          <w:b w:val="0"/>
          <w:bCs w:val="0"/>
          <w:kern w:val="0"/>
          <w:sz w:val="32"/>
          <w:szCs w:val="32"/>
          <w:u w:val="none"/>
        </w:rPr>
        <w:t>千伏永丰站等输变电工程建设。</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建设安全高效的燃气供应系统。构建气源保障供应充足、场站布置合理、压力级制高效、主干管网可靠、适应性强的现代化市政燃气输配系统。保障斗门天然气门站、白蕉天然气门站、莲洲天然气门站、井岸区域调压站、上冲区域调压站、平沙区域调压站等设施用地，提升能源供应保障能力。到</w:t>
      </w:r>
      <w:r>
        <w:rPr>
          <w:rFonts w:hint="eastAsia" w:cs="Times New Roman"/>
          <w:b w:val="0"/>
          <w:bCs w:val="0"/>
          <w:kern w:val="0"/>
          <w:sz w:val="32"/>
          <w:szCs w:val="32"/>
          <w:u w:val="none"/>
        </w:rPr>
        <w:t>2035</w:t>
      </w:r>
      <w:r>
        <w:rPr>
          <w:rFonts w:hint="eastAsia" w:ascii="仿宋_GB2312" w:hAnsi="仿宋" w:cs="Times New Roman"/>
          <w:b w:val="0"/>
          <w:bCs w:val="0"/>
          <w:kern w:val="0"/>
          <w:sz w:val="32"/>
          <w:szCs w:val="32"/>
          <w:u w:val="none"/>
        </w:rPr>
        <w:t>年，实现城镇居民燃气普及率</w:t>
      </w:r>
      <w:r>
        <w:rPr>
          <w:rFonts w:hint="eastAsia" w:cs="Times New Roman"/>
          <w:b w:val="0"/>
          <w:bCs w:val="0"/>
          <w:kern w:val="0"/>
          <w:sz w:val="32"/>
          <w:szCs w:val="32"/>
          <w:u w:val="none"/>
        </w:rPr>
        <w:t>100</w:t>
      </w:r>
      <w:r>
        <w:rPr>
          <w:rFonts w:hint="eastAsia" w:ascii="仿宋_GB2312" w:hAnsi="仿宋" w:cs="Times New Roman"/>
          <w:b w:val="0"/>
          <w:bCs w:val="0"/>
          <w:kern w:val="0"/>
          <w:sz w:val="32"/>
          <w:szCs w:val="32"/>
          <w:u w:val="none"/>
        </w:rPr>
        <w:t>%。</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建设布局合理的能源储备系统。建设能源储备基地，谋划推动直湾岛</w:t>
      </w:r>
      <w:r>
        <w:rPr>
          <w:rFonts w:hint="eastAsia" w:cs="Times New Roman"/>
          <w:b w:val="0"/>
          <w:bCs w:val="0"/>
          <w:kern w:val="0"/>
          <w:sz w:val="32"/>
          <w:szCs w:val="32"/>
          <w:u w:val="none"/>
        </w:rPr>
        <w:t>LNG</w:t>
      </w:r>
      <w:r>
        <w:rPr>
          <w:rFonts w:hint="eastAsia" w:ascii="仿宋_GB2312" w:hAnsi="仿宋" w:cs="Times New Roman"/>
          <w:b w:val="0"/>
          <w:bCs w:val="0"/>
          <w:kern w:val="0"/>
          <w:sz w:val="32"/>
          <w:szCs w:val="32"/>
          <w:u w:val="none"/>
        </w:rPr>
        <w:t>接收站、金湾</w:t>
      </w:r>
      <w:r>
        <w:rPr>
          <w:rFonts w:hint="eastAsia" w:cs="Times New Roman"/>
          <w:b w:val="0"/>
          <w:bCs w:val="0"/>
          <w:kern w:val="0"/>
          <w:sz w:val="32"/>
          <w:szCs w:val="32"/>
          <w:u w:val="none"/>
        </w:rPr>
        <w:t>LNG</w:t>
      </w:r>
      <w:r>
        <w:rPr>
          <w:rFonts w:hint="eastAsia" w:ascii="仿宋_GB2312" w:hAnsi="仿宋" w:cs="Times New Roman"/>
          <w:b w:val="0"/>
          <w:bCs w:val="0"/>
          <w:kern w:val="0"/>
          <w:sz w:val="32"/>
          <w:szCs w:val="32"/>
          <w:u w:val="none"/>
        </w:rPr>
        <w:t>接收站二期工程建设，推进珠海国能煤炭储运中心扩容增产，增强煤炭应急调峰储备能力，加快建设珠海港石化化工码头、燃料油调和配送码头、油品储库配套码头，完善成品油储备及输送设施布局。</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68" w:name="_Toc2392"/>
      <w:r>
        <w:rPr>
          <w:rFonts w:hint="eastAsia"/>
          <w:b w:val="0"/>
          <w:bCs w:val="0"/>
          <w:sz w:val="32"/>
          <w:szCs w:val="32"/>
          <w:u w:val="none"/>
        </w:rPr>
        <w:t>构建多</w:t>
      </w:r>
      <w:r>
        <w:rPr>
          <w:rFonts w:hint="eastAsia"/>
          <w:b w:val="0"/>
          <w:bCs w:val="0"/>
          <w:sz w:val="32"/>
          <w:szCs w:val="32"/>
          <w:u w:val="none"/>
          <w:lang w:val="en-US"/>
        </w:rPr>
        <w:t>主体</w:t>
      </w:r>
      <w:r>
        <w:rPr>
          <w:rFonts w:hint="eastAsia"/>
          <w:b w:val="0"/>
          <w:bCs w:val="0"/>
          <w:sz w:val="32"/>
          <w:szCs w:val="32"/>
          <w:u w:val="none"/>
        </w:rPr>
        <w:t>、全种类固体废物治理体系</w:t>
      </w:r>
      <w:bookmarkEnd w:id="268"/>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 w:hAnsi="仿宋" w:cs="Times New Roman"/>
          <w:b w:val="0"/>
          <w:bCs w:val="0"/>
          <w:kern w:val="0"/>
          <w:sz w:val="32"/>
          <w:szCs w:val="32"/>
          <w:u w:val="none"/>
        </w:rPr>
      </w:pPr>
      <w:r>
        <w:rPr>
          <w:rFonts w:hint="eastAsia" w:ascii="仿宋" w:hAnsi="仿宋" w:cs="Times New Roman"/>
          <w:b w:val="0"/>
          <w:bCs w:val="0"/>
          <w:kern w:val="0"/>
          <w:sz w:val="32"/>
          <w:szCs w:val="32"/>
          <w:u w:val="none"/>
        </w:rPr>
        <w:t>构建生活垃圾市、区两级设施体系。陆域生活垃圾中的其他垃圾、厨余(含餐厨)垃圾、医疗废物等处理设施统一布局于珠海生态环保产业园；各区应设置再生资源综合利用设施，对建筑、园林、大件垃圾及再生资源等进行处理；各主要海岛应就地建立垃圾综合处置利用设施。</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 w:hAnsi="仿宋" w:cs="Times New Roman"/>
          <w:b w:val="0"/>
          <w:bCs w:val="0"/>
          <w:kern w:val="0"/>
          <w:sz w:val="32"/>
          <w:szCs w:val="32"/>
          <w:u w:val="none"/>
        </w:rPr>
      </w:pPr>
      <w:r>
        <w:rPr>
          <w:rFonts w:hint="eastAsia" w:ascii="仿宋" w:hAnsi="仿宋" w:cs="Times New Roman"/>
          <w:b w:val="0"/>
          <w:bCs w:val="0"/>
          <w:kern w:val="0"/>
          <w:sz w:val="32"/>
          <w:szCs w:val="32"/>
          <w:u w:val="none"/>
        </w:rPr>
        <w:t>建立其他各类固体废物处理处置体系。工业固体废物以各类危险废物处置企业、一般工业固体废物处置企业为</w:t>
      </w:r>
      <w:r>
        <w:rPr>
          <w:rFonts w:ascii="仿宋" w:hAnsi="仿宋" w:cs="Times New Roman"/>
          <w:b w:val="0"/>
          <w:bCs w:val="0"/>
          <w:kern w:val="0"/>
          <w:sz w:val="32"/>
          <w:szCs w:val="32"/>
          <w:u w:val="none"/>
        </w:rPr>
        <w:t>主要载体</w:t>
      </w:r>
      <w:r>
        <w:rPr>
          <w:rFonts w:hint="eastAsia" w:ascii="仿宋" w:hAnsi="仿宋" w:cs="Times New Roman"/>
          <w:b w:val="0"/>
          <w:bCs w:val="0"/>
          <w:kern w:val="0"/>
          <w:sz w:val="32"/>
          <w:szCs w:val="32"/>
          <w:u w:val="none"/>
        </w:rPr>
        <w:t>进行处理。病死动物、农药农膜、充电电池等本次规划未涵盖的固体废物，应结合社会经济发展和无废城市建设进程，及时纳入管理，并妥善收集处置。</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 w:hAnsi="仿宋" w:cs="Times New Roman"/>
          <w:b w:val="0"/>
          <w:bCs w:val="0"/>
          <w:kern w:val="0"/>
          <w:sz w:val="32"/>
          <w:szCs w:val="32"/>
          <w:u w:val="none"/>
        </w:rPr>
      </w:pPr>
      <w:r>
        <w:rPr>
          <w:rFonts w:hint="eastAsia" w:ascii="仿宋" w:hAnsi="仿宋" w:cs="Times New Roman"/>
          <w:b w:val="0"/>
          <w:bCs w:val="0"/>
          <w:kern w:val="0"/>
          <w:sz w:val="32"/>
          <w:szCs w:val="32"/>
          <w:u w:val="none"/>
        </w:rPr>
        <w:t>完善垃圾分类收运体系。补足收集</w:t>
      </w:r>
      <w:r>
        <w:rPr>
          <w:rFonts w:ascii="仿宋" w:hAnsi="仿宋" w:cs="Times New Roman"/>
          <w:b w:val="0"/>
          <w:bCs w:val="0"/>
          <w:kern w:val="0"/>
          <w:sz w:val="32"/>
          <w:szCs w:val="32"/>
          <w:u w:val="none"/>
        </w:rPr>
        <w:t>站、</w:t>
      </w:r>
      <w:r>
        <w:rPr>
          <w:rFonts w:hint="eastAsia" w:ascii="仿宋" w:hAnsi="仿宋" w:cs="Times New Roman"/>
          <w:b w:val="0"/>
          <w:bCs w:val="0"/>
          <w:kern w:val="0"/>
          <w:sz w:val="32"/>
          <w:szCs w:val="32"/>
          <w:u w:val="none"/>
        </w:rPr>
        <w:t>转运站、环卫停车场等设施，推进新能源环卫车辆应用。至</w:t>
      </w:r>
      <w:r>
        <w:rPr>
          <w:rFonts w:hint="eastAsia" w:cs="Times New Roman"/>
          <w:b w:val="0"/>
          <w:bCs w:val="0"/>
          <w:kern w:val="0"/>
          <w:sz w:val="32"/>
          <w:szCs w:val="32"/>
          <w:u w:val="none"/>
        </w:rPr>
        <w:t>2035</w:t>
      </w:r>
      <w:r>
        <w:rPr>
          <w:rFonts w:hint="eastAsia" w:ascii="仿宋" w:hAnsi="仿宋" w:cs="Times New Roman"/>
          <w:b w:val="0"/>
          <w:bCs w:val="0"/>
          <w:kern w:val="0"/>
          <w:sz w:val="32"/>
          <w:szCs w:val="32"/>
          <w:u w:val="none"/>
        </w:rPr>
        <w:t>年底，保持原生生活垃圾零填埋，生活垃圾无害化处理率</w:t>
      </w:r>
      <w:r>
        <w:rPr>
          <w:rFonts w:hint="eastAsia" w:cs="Times New Roman"/>
          <w:b w:val="0"/>
          <w:bCs w:val="0"/>
          <w:kern w:val="0"/>
          <w:sz w:val="32"/>
          <w:szCs w:val="32"/>
          <w:u w:val="none"/>
        </w:rPr>
        <w:t>100</w:t>
      </w:r>
      <w:r>
        <w:rPr>
          <w:rFonts w:hint="eastAsia" w:ascii="仿宋" w:hAnsi="仿宋" w:cs="Times New Roman"/>
          <w:b w:val="0"/>
          <w:bCs w:val="0"/>
          <w:kern w:val="0"/>
          <w:sz w:val="32"/>
          <w:szCs w:val="32"/>
          <w:u w:val="none"/>
        </w:rPr>
        <w:t>%，城市生活垃圾资源化利用率不低于</w:t>
      </w:r>
      <w:r>
        <w:rPr>
          <w:rFonts w:hint="eastAsia" w:cs="Times New Roman"/>
          <w:b w:val="0"/>
          <w:bCs w:val="0"/>
          <w:kern w:val="0"/>
          <w:sz w:val="32"/>
          <w:szCs w:val="32"/>
          <w:u w:val="none"/>
        </w:rPr>
        <w:t>65</w:t>
      </w:r>
      <w:r>
        <w:rPr>
          <w:rFonts w:hint="eastAsia" w:ascii="仿宋" w:hAnsi="仿宋" w:cs="Times New Roman"/>
          <w:b w:val="0"/>
          <w:bCs w:val="0"/>
          <w:kern w:val="0"/>
          <w:sz w:val="32"/>
          <w:szCs w:val="32"/>
          <w:u w:val="none"/>
        </w:rPr>
        <w:t>%。</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269" w:name="_Toc32181"/>
      <w:r>
        <w:rPr>
          <w:rFonts w:hint="eastAsia"/>
          <w:b w:val="0"/>
          <w:bCs w:val="0"/>
          <w:sz w:val="32"/>
          <w:szCs w:val="32"/>
          <w:u w:val="none"/>
        </w:rPr>
        <w:t>加强市政基础设施与廊道空间管控</w:t>
      </w:r>
      <w:bookmarkEnd w:id="269"/>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优化市政设施布局。各类市政设施线性管道工程优先结合珠海大道、高栏港高速、磨刀门水道等有</w:t>
      </w:r>
      <w:r>
        <w:rPr>
          <w:rFonts w:hint="eastAsia"/>
          <w:b w:val="0"/>
          <w:bCs w:val="0"/>
          <w:sz w:val="32"/>
          <w:szCs w:val="32"/>
          <w:u w:val="none"/>
        </w:rPr>
        <w:t>敷设</w:t>
      </w:r>
      <w:r>
        <w:rPr>
          <w:rFonts w:hint="eastAsia" w:ascii="仿宋_GB2312" w:hAnsi="仿宋" w:cs="Times New Roman"/>
          <w:b w:val="0"/>
          <w:bCs w:val="0"/>
          <w:kern w:val="0"/>
          <w:sz w:val="32"/>
          <w:szCs w:val="32"/>
          <w:u w:val="none"/>
        </w:rPr>
        <w:t>条件的线性交通廊道、生态廊道的附属空间布局。</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严格保护市政廊道安全。加强重要电力、油气、原水管线、外江（海）堤防的空间预留及管控，规划建设连续、完整、安全、集约的重大市政廊道。</w:t>
      </w:r>
      <w:r>
        <w:rPr>
          <w:rFonts w:hint="eastAsia" w:cs="Times New Roman"/>
          <w:b w:val="0"/>
          <w:bCs w:val="0"/>
          <w:kern w:val="0"/>
          <w:sz w:val="32"/>
          <w:szCs w:val="32"/>
          <w:u w:val="none"/>
        </w:rPr>
        <w:t>500</w:t>
      </w:r>
      <w:r>
        <w:rPr>
          <w:rFonts w:hint="eastAsia" w:ascii="仿宋_GB2312" w:hAnsi="仿宋" w:cs="Times New Roman"/>
          <w:b w:val="0"/>
          <w:bCs w:val="0"/>
          <w:kern w:val="0"/>
          <w:sz w:val="32"/>
          <w:szCs w:val="32"/>
          <w:u w:val="none"/>
        </w:rPr>
        <w:t>千伏架空线路走廊宽度不应小于</w:t>
      </w:r>
      <w:r>
        <w:rPr>
          <w:rFonts w:hint="eastAsia" w:cs="Times New Roman"/>
          <w:b w:val="0"/>
          <w:bCs w:val="0"/>
          <w:kern w:val="0"/>
          <w:sz w:val="32"/>
          <w:szCs w:val="32"/>
          <w:u w:val="none"/>
        </w:rPr>
        <w:t>70</w:t>
      </w:r>
      <w:r>
        <w:rPr>
          <w:rFonts w:hint="eastAsia" w:ascii="仿宋_GB2312" w:hAnsi="仿宋" w:cs="Times New Roman"/>
          <w:b w:val="0"/>
          <w:bCs w:val="0"/>
          <w:kern w:val="0"/>
          <w:sz w:val="32"/>
          <w:szCs w:val="32"/>
          <w:u w:val="none"/>
        </w:rPr>
        <w:t>米，</w:t>
      </w:r>
      <w:r>
        <w:rPr>
          <w:rFonts w:hint="eastAsia" w:cs="Times New Roman"/>
          <w:b w:val="0"/>
          <w:bCs w:val="0"/>
          <w:kern w:val="0"/>
          <w:sz w:val="32"/>
          <w:szCs w:val="32"/>
          <w:u w:val="none"/>
        </w:rPr>
        <w:t>220</w:t>
      </w:r>
      <w:r>
        <w:rPr>
          <w:rFonts w:hint="eastAsia" w:ascii="仿宋_GB2312" w:hAnsi="仿宋" w:cs="Times New Roman"/>
          <w:b w:val="0"/>
          <w:bCs w:val="0"/>
          <w:kern w:val="0"/>
          <w:sz w:val="32"/>
          <w:szCs w:val="32"/>
          <w:u w:val="none"/>
        </w:rPr>
        <w:t>千伏架空线路走廊宽度不应小于</w:t>
      </w:r>
      <w:r>
        <w:rPr>
          <w:rFonts w:hint="eastAsia" w:cs="Times New Roman"/>
          <w:b w:val="0"/>
          <w:bCs w:val="0"/>
          <w:kern w:val="0"/>
          <w:sz w:val="32"/>
          <w:szCs w:val="32"/>
          <w:u w:val="none"/>
        </w:rPr>
        <w:t>40</w:t>
      </w:r>
      <w:r>
        <w:rPr>
          <w:rFonts w:hint="eastAsia" w:ascii="仿宋_GB2312" w:hAnsi="仿宋" w:cs="Times New Roman"/>
          <w:b w:val="0"/>
          <w:bCs w:val="0"/>
          <w:kern w:val="0"/>
          <w:sz w:val="32"/>
          <w:szCs w:val="32"/>
          <w:u w:val="none"/>
        </w:rPr>
        <w:t>米；在油气管线中心线两侧各</w:t>
      </w:r>
      <w:r>
        <w:rPr>
          <w:rFonts w:hint="eastAsia" w:cs="Times New Roman"/>
          <w:b w:val="0"/>
          <w:bCs w:val="0"/>
          <w:kern w:val="0"/>
          <w:sz w:val="32"/>
          <w:szCs w:val="32"/>
          <w:u w:val="none"/>
        </w:rPr>
        <w:t>5</w:t>
      </w:r>
      <w:r>
        <w:rPr>
          <w:rFonts w:hint="eastAsia" w:ascii="仿宋_GB2312" w:hAnsi="仿宋" w:cs="Times New Roman"/>
          <w:b w:val="0"/>
          <w:bCs w:val="0"/>
          <w:kern w:val="0"/>
          <w:sz w:val="32"/>
          <w:szCs w:val="32"/>
          <w:u w:val="none"/>
        </w:rPr>
        <w:t>米地域范围内禁止危害管道安全的行为。</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加强地下市政基础设施规划、建设和运行管理。坚持路网同建，统筹地上地下，定期开展地下市政基础设施普查，建立隐患风险台账，建立地下市政基础设施综合管理平台，强化规划许可审批、规划条件核实和综合竣工验收等，构建全流程闭环管理。</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270" w:name="_Toc22532"/>
      <w:r>
        <w:rPr>
          <w:rFonts w:hint="eastAsia"/>
          <w:b w:val="0"/>
          <w:bCs w:val="0"/>
          <w:sz w:val="32"/>
          <w:szCs w:val="32"/>
          <w:u w:val="none"/>
        </w:rPr>
        <w:t>鼓励市政基础设施</w:t>
      </w:r>
      <w:r>
        <w:rPr>
          <w:rFonts w:hint="eastAsia"/>
          <w:b w:val="0"/>
          <w:bCs w:val="0"/>
          <w:sz w:val="32"/>
          <w:szCs w:val="32"/>
          <w:u w:val="none"/>
          <w:lang w:val="en-US"/>
        </w:rPr>
        <w:t>复合</w:t>
      </w:r>
      <w:r>
        <w:rPr>
          <w:rFonts w:hint="eastAsia"/>
          <w:b w:val="0"/>
          <w:bCs w:val="0"/>
          <w:sz w:val="32"/>
          <w:szCs w:val="32"/>
          <w:u w:val="none"/>
        </w:rPr>
        <w:t>开发</w:t>
      </w:r>
      <w:bookmarkEnd w:id="270"/>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优化各类市政设施集约布局，功能整合，共建共享，提高设施使用效率。采取“小型化”“景观化”“地下化”“智能化”等新技术、新理念，加强与城市整体景观风貌协调，保障设施</w:t>
      </w:r>
      <w:r>
        <w:rPr>
          <w:rFonts w:ascii="仿宋_GB2312" w:hAnsi="仿宋" w:cs="Times New Roman"/>
          <w:b w:val="0"/>
          <w:bCs w:val="0"/>
          <w:kern w:val="0"/>
          <w:sz w:val="32"/>
          <w:szCs w:val="32"/>
          <w:u w:val="none"/>
        </w:rPr>
        <w:t>安全，</w:t>
      </w:r>
      <w:r>
        <w:rPr>
          <w:rFonts w:hint="eastAsia" w:ascii="仿宋_GB2312" w:hAnsi="仿宋" w:cs="Times New Roman"/>
          <w:b w:val="0"/>
          <w:bCs w:val="0"/>
          <w:kern w:val="0"/>
          <w:sz w:val="32"/>
          <w:szCs w:val="32"/>
          <w:u w:val="none"/>
        </w:rPr>
        <w:t>减少邻避效应。因地制宜推进地下综合管廊系统建设，鼓励新建城区建设综合管廊，老</w:t>
      </w:r>
      <w:r>
        <w:rPr>
          <w:rFonts w:ascii="仿宋_GB2312" w:hAnsi="仿宋" w:cs="Times New Roman"/>
          <w:b w:val="0"/>
          <w:bCs w:val="0"/>
          <w:kern w:val="0"/>
          <w:sz w:val="32"/>
          <w:szCs w:val="32"/>
          <w:u w:val="none"/>
        </w:rPr>
        <w:t>城区结合道路、老旧管网改造</w:t>
      </w:r>
      <w:r>
        <w:rPr>
          <w:rFonts w:hint="eastAsia" w:ascii="仿宋_GB2312" w:hAnsi="仿宋" w:cs="Times New Roman"/>
          <w:b w:val="0"/>
          <w:bCs w:val="0"/>
          <w:kern w:val="0"/>
          <w:sz w:val="32"/>
          <w:szCs w:val="32"/>
          <w:u w:val="none"/>
        </w:rPr>
        <w:t>协同推进综合管廊建设。</w:t>
      </w:r>
    </w:p>
    <w:p>
      <w:pPr>
        <w:pStyle w:val="81"/>
        <w:keepNext w:val="0"/>
        <w:keepLines w:val="0"/>
        <w:pageBreakBefore w:val="0"/>
        <w:widowControl w:val="0"/>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271" w:name="_Toc20436"/>
      <w:r>
        <w:rPr>
          <w:rFonts w:hint="eastAsia"/>
          <w:b w:val="0"/>
          <w:bCs w:val="0"/>
          <w:sz w:val="32"/>
          <w:szCs w:val="32"/>
          <w:u w:val="none"/>
        </w:rPr>
        <w:t>安全韧性城市</w:t>
      </w:r>
      <w:bookmarkEnd w:id="271"/>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272" w:name="_Toc3420"/>
      <w:r>
        <w:rPr>
          <w:rFonts w:hint="eastAsia"/>
          <w:b w:val="0"/>
          <w:bCs w:val="0"/>
          <w:sz w:val="32"/>
          <w:szCs w:val="32"/>
          <w:u w:val="none"/>
          <w:lang w:val="en-US"/>
        </w:rPr>
        <w:t>全面提升滨海城市防灾减灾</w:t>
      </w:r>
      <w:r>
        <w:rPr>
          <w:b w:val="0"/>
          <w:bCs w:val="0"/>
          <w:sz w:val="32"/>
          <w:szCs w:val="32"/>
          <w:u w:val="none"/>
          <w:lang w:val="en-US"/>
        </w:rPr>
        <w:t>能力</w:t>
      </w:r>
      <w:bookmarkEnd w:id="272"/>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融入粤港澳大湾区西岸防灾减灾综合指挥救援体系，建立以“市-行政区（功能区）-镇街-社区（村）”四级响应的防灾减灾体系，建立现代化、智慧化滨海韧性城市。至</w:t>
      </w:r>
      <w:r>
        <w:rPr>
          <w:rFonts w:hint="eastAsia"/>
          <w:b w:val="0"/>
          <w:bCs w:val="0"/>
          <w:sz w:val="32"/>
          <w:szCs w:val="32"/>
          <w:u w:val="none"/>
        </w:rPr>
        <w:t>2035</w:t>
      </w:r>
      <w:r>
        <w:rPr>
          <w:rFonts w:hint="eastAsia" w:ascii="仿宋_GB2312"/>
          <w:b w:val="0"/>
          <w:bCs w:val="0"/>
          <w:sz w:val="32"/>
          <w:szCs w:val="32"/>
          <w:u w:val="none"/>
        </w:rPr>
        <w:t>年，全市应急避难人均有效面积≥</w:t>
      </w:r>
      <w:r>
        <w:rPr>
          <w:b w:val="0"/>
          <w:bCs w:val="0"/>
          <w:sz w:val="32"/>
          <w:szCs w:val="32"/>
          <w:u w:val="none"/>
        </w:rPr>
        <w:t>2</w:t>
      </w:r>
      <w:r>
        <w:rPr>
          <w:rFonts w:ascii="仿宋_GB2312"/>
          <w:b w:val="0"/>
          <w:bCs w:val="0"/>
          <w:sz w:val="32"/>
          <w:szCs w:val="32"/>
          <w:u w:val="none"/>
        </w:rPr>
        <w:t>.</w:t>
      </w:r>
      <w:r>
        <w:rPr>
          <w:b w:val="0"/>
          <w:bCs w:val="0"/>
          <w:sz w:val="32"/>
          <w:szCs w:val="32"/>
          <w:u w:val="none"/>
        </w:rPr>
        <w:t>6</w:t>
      </w:r>
      <w:r>
        <w:rPr>
          <w:rFonts w:hint="eastAsia" w:ascii="仿宋_GB2312"/>
          <w:b w:val="0"/>
          <w:bCs w:val="0"/>
          <w:sz w:val="32"/>
          <w:szCs w:val="32"/>
          <w:u w:val="none"/>
        </w:rPr>
        <w:t>平方米；全市具备抗御</w:t>
      </w:r>
      <w:r>
        <w:rPr>
          <w:rFonts w:hint="eastAsia"/>
          <w:b w:val="0"/>
          <w:bCs w:val="0"/>
          <w:sz w:val="32"/>
          <w:szCs w:val="32"/>
          <w:u w:val="none"/>
        </w:rPr>
        <w:t>6</w:t>
      </w:r>
      <w:r>
        <w:rPr>
          <w:rFonts w:hint="eastAsia" w:ascii="仿宋_GB2312"/>
          <w:b w:val="0"/>
          <w:bCs w:val="0"/>
          <w:sz w:val="32"/>
          <w:szCs w:val="32"/>
          <w:u w:val="none"/>
        </w:rPr>
        <w:t>级烈度</w:t>
      </w:r>
      <w:r>
        <w:rPr>
          <w:rFonts w:hint="eastAsia"/>
          <w:b w:val="0"/>
          <w:bCs w:val="0"/>
          <w:sz w:val="32"/>
          <w:szCs w:val="32"/>
          <w:u w:val="none"/>
        </w:rPr>
        <w:t>VII</w:t>
      </w:r>
      <w:r>
        <w:rPr>
          <w:rFonts w:hint="eastAsia" w:ascii="仿宋_GB2312"/>
          <w:b w:val="0"/>
          <w:bCs w:val="0"/>
          <w:sz w:val="32"/>
          <w:szCs w:val="32"/>
          <w:u w:val="none"/>
        </w:rPr>
        <w:t>度地震的能力；全市人均人防工程建筑</w:t>
      </w:r>
      <w:r>
        <w:rPr>
          <w:rFonts w:ascii="仿宋_GB2312"/>
          <w:b w:val="0"/>
          <w:bCs w:val="0"/>
          <w:sz w:val="32"/>
          <w:szCs w:val="32"/>
          <w:u w:val="none"/>
        </w:rPr>
        <w:t>面积</w:t>
      </w:r>
      <w:r>
        <w:rPr>
          <w:rFonts w:hint="eastAsia" w:ascii="仿宋_GB2312"/>
          <w:b w:val="0"/>
          <w:bCs w:val="0"/>
          <w:sz w:val="32"/>
          <w:szCs w:val="32"/>
          <w:u w:val="none"/>
        </w:rPr>
        <w:t>≥</w:t>
      </w:r>
      <w:r>
        <w:rPr>
          <w:b w:val="0"/>
          <w:bCs w:val="0"/>
          <w:sz w:val="32"/>
          <w:szCs w:val="32"/>
          <w:u w:val="none"/>
        </w:rPr>
        <w:t>2</w:t>
      </w:r>
      <w:r>
        <w:rPr>
          <w:rFonts w:ascii="仿宋_GB2312"/>
          <w:b w:val="0"/>
          <w:bCs w:val="0"/>
          <w:sz w:val="32"/>
          <w:szCs w:val="32"/>
          <w:u w:val="none"/>
        </w:rPr>
        <w:t>.</w:t>
      </w:r>
      <w:r>
        <w:rPr>
          <w:b w:val="0"/>
          <w:bCs w:val="0"/>
          <w:sz w:val="32"/>
          <w:szCs w:val="32"/>
          <w:u w:val="none"/>
        </w:rPr>
        <w:t>5</w:t>
      </w:r>
      <w:r>
        <w:rPr>
          <w:rFonts w:hint="eastAsia" w:ascii="仿宋_GB2312"/>
          <w:b w:val="0"/>
          <w:bCs w:val="0"/>
          <w:sz w:val="32"/>
          <w:szCs w:val="32"/>
          <w:u w:val="none"/>
        </w:rPr>
        <w:t>平方米；中心区防潮能力不低于</w:t>
      </w:r>
      <w:r>
        <w:rPr>
          <w:b w:val="0"/>
          <w:bCs w:val="0"/>
          <w:sz w:val="32"/>
          <w:szCs w:val="32"/>
          <w:u w:val="none"/>
        </w:rPr>
        <w:t>200</w:t>
      </w:r>
      <w:r>
        <w:rPr>
          <w:rFonts w:hint="eastAsia" w:ascii="仿宋_GB2312"/>
          <w:b w:val="0"/>
          <w:bCs w:val="0"/>
          <w:sz w:val="32"/>
          <w:szCs w:val="32"/>
          <w:u w:val="none"/>
        </w:rPr>
        <w:t>年一遇、防洪能力不低于</w:t>
      </w:r>
      <w:r>
        <w:rPr>
          <w:b w:val="0"/>
          <w:bCs w:val="0"/>
          <w:sz w:val="32"/>
          <w:szCs w:val="32"/>
          <w:u w:val="none"/>
        </w:rPr>
        <w:t>100</w:t>
      </w:r>
      <w:r>
        <w:rPr>
          <w:rFonts w:hint="eastAsia" w:ascii="仿宋_GB2312"/>
          <w:b w:val="0"/>
          <w:bCs w:val="0"/>
          <w:sz w:val="32"/>
          <w:szCs w:val="32"/>
          <w:u w:val="none"/>
        </w:rPr>
        <w:t>年一遇，特色城镇防潮（洪）能力不低于</w:t>
      </w:r>
      <w:r>
        <w:rPr>
          <w:b w:val="0"/>
          <w:bCs w:val="0"/>
          <w:sz w:val="32"/>
          <w:szCs w:val="32"/>
          <w:u w:val="none"/>
        </w:rPr>
        <w:t>100</w:t>
      </w:r>
      <w:r>
        <w:rPr>
          <w:rFonts w:hint="eastAsia" w:ascii="仿宋_GB2312"/>
          <w:b w:val="0"/>
          <w:bCs w:val="0"/>
          <w:sz w:val="32"/>
          <w:szCs w:val="32"/>
          <w:u w:val="none"/>
        </w:rPr>
        <w:t>年一遇；城市消防服务能力覆盖指标≥</w:t>
      </w:r>
      <w:r>
        <w:rPr>
          <w:rFonts w:hint="eastAsia"/>
          <w:b w:val="0"/>
          <w:bCs w:val="0"/>
          <w:sz w:val="32"/>
          <w:szCs w:val="32"/>
          <w:u w:val="none"/>
        </w:rPr>
        <w:t>1</w:t>
      </w:r>
      <w:r>
        <w:rPr>
          <w:rFonts w:hint="eastAsia" w:ascii="仿宋_GB2312"/>
          <w:b w:val="0"/>
          <w:bCs w:val="0"/>
          <w:sz w:val="32"/>
          <w:szCs w:val="32"/>
          <w:u w:val="none"/>
        </w:rPr>
        <w:t>站/</w:t>
      </w:r>
      <w:r>
        <w:rPr>
          <w:b w:val="0"/>
          <w:bCs w:val="0"/>
          <w:sz w:val="32"/>
          <w:szCs w:val="32"/>
          <w:u w:val="none"/>
        </w:rPr>
        <w:t>10</w:t>
      </w:r>
      <w:r>
        <w:rPr>
          <w:rFonts w:hint="eastAsia" w:ascii="仿宋_GB2312"/>
          <w:b w:val="0"/>
          <w:bCs w:val="0"/>
          <w:sz w:val="32"/>
          <w:szCs w:val="32"/>
          <w:u w:val="none"/>
        </w:rPr>
        <w:t>万人。当珠海市遭受地震烈度为Ⅶ度的地震影响时，城市基础设施基本正常，一般建设工程可能发生破坏但基本不影响城市整体功能，重要工矿企业能很快恢复生产或运营。</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273" w:name="_Toc31302"/>
      <w:bookmarkStart w:id="274" w:name="_Toc138059011"/>
      <w:r>
        <w:rPr>
          <w:rFonts w:hint="eastAsia"/>
          <w:b w:val="0"/>
          <w:bCs w:val="0"/>
          <w:sz w:val="32"/>
          <w:szCs w:val="32"/>
          <w:u w:val="none"/>
          <w:lang w:val="en-US"/>
        </w:rPr>
        <w:t>优化城市</w:t>
      </w:r>
      <w:r>
        <w:rPr>
          <w:b w:val="0"/>
          <w:bCs w:val="0"/>
          <w:sz w:val="32"/>
          <w:szCs w:val="32"/>
          <w:u w:val="none"/>
          <w:lang w:val="en-US"/>
        </w:rPr>
        <w:t>空间安全布局</w:t>
      </w:r>
      <w:bookmarkEnd w:id="273"/>
      <w:bookmarkEnd w:id="274"/>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科学</w:t>
      </w:r>
      <w:r>
        <w:rPr>
          <w:rFonts w:ascii="仿宋_GB2312"/>
          <w:b w:val="0"/>
          <w:bCs w:val="0"/>
          <w:sz w:val="32"/>
          <w:szCs w:val="32"/>
          <w:u w:val="none"/>
        </w:rPr>
        <w:t>划定防灾分区。</w:t>
      </w:r>
      <w:r>
        <w:rPr>
          <w:rFonts w:hint="eastAsia" w:ascii="仿宋_GB2312"/>
          <w:b w:val="0"/>
          <w:bCs w:val="0"/>
          <w:sz w:val="32"/>
          <w:szCs w:val="32"/>
          <w:u w:val="none"/>
        </w:rPr>
        <w:t>构建“市-行政区（功能区）-镇街-社区（村）”防灾分区体系</w:t>
      </w:r>
      <w:r>
        <w:rPr>
          <w:rFonts w:ascii="仿宋_GB2312"/>
          <w:b w:val="0"/>
          <w:bCs w:val="0"/>
          <w:sz w:val="32"/>
          <w:szCs w:val="32"/>
          <w:u w:val="none"/>
        </w:rPr>
        <w:t>，</w:t>
      </w:r>
      <w:r>
        <w:rPr>
          <w:rFonts w:hint="eastAsia" w:ascii="仿宋_GB2312"/>
          <w:b w:val="0"/>
          <w:bCs w:val="0"/>
          <w:sz w:val="32"/>
          <w:szCs w:val="32"/>
          <w:u w:val="none"/>
        </w:rPr>
        <w:t>逐步完善</w:t>
      </w:r>
      <w:r>
        <w:rPr>
          <w:rFonts w:ascii="仿宋_GB2312"/>
          <w:b w:val="0"/>
          <w:bCs w:val="0"/>
          <w:sz w:val="32"/>
          <w:szCs w:val="32"/>
          <w:u w:val="none"/>
        </w:rPr>
        <w:t>与</w:t>
      </w:r>
      <w:r>
        <w:rPr>
          <w:rFonts w:hint="eastAsia" w:ascii="仿宋_GB2312"/>
          <w:b w:val="0"/>
          <w:bCs w:val="0"/>
          <w:sz w:val="32"/>
          <w:szCs w:val="32"/>
          <w:u w:val="none"/>
        </w:rPr>
        <w:t>“城市-片区-基本城市组团-邻里”四级空间结构相配套的</w:t>
      </w:r>
      <w:r>
        <w:rPr>
          <w:rFonts w:hint="eastAsia"/>
          <w:b w:val="0"/>
          <w:bCs w:val="0"/>
          <w:sz w:val="32"/>
          <w:szCs w:val="32"/>
          <w:u w:val="none"/>
        </w:rPr>
        <w:t>防灾</w:t>
      </w:r>
      <w:r>
        <w:rPr>
          <w:rFonts w:ascii="仿宋_GB2312"/>
          <w:b w:val="0"/>
          <w:bCs w:val="0"/>
          <w:sz w:val="32"/>
          <w:szCs w:val="32"/>
          <w:u w:val="none"/>
        </w:rPr>
        <w:t>减灾设施</w:t>
      </w:r>
      <w:r>
        <w:rPr>
          <w:rFonts w:hint="eastAsia" w:ascii="仿宋_GB2312"/>
          <w:b w:val="0"/>
          <w:bCs w:val="0"/>
          <w:sz w:val="32"/>
          <w:szCs w:val="32"/>
          <w:u w:val="none"/>
        </w:rPr>
        <w:t>。合理划定香洲区、</w:t>
      </w:r>
      <w:r>
        <w:rPr>
          <w:rFonts w:ascii="仿宋_GB2312"/>
          <w:b w:val="0"/>
          <w:bCs w:val="0"/>
          <w:sz w:val="32"/>
          <w:szCs w:val="32"/>
          <w:u w:val="none"/>
        </w:rPr>
        <w:t>高新区、斗门区</w:t>
      </w:r>
      <w:r>
        <w:rPr>
          <w:rFonts w:hint="eastAsia" w:ascii="仿宋_GB2312"/>
          <w:b w:val="0"/>
          <w:bCs w:val="0"/>
          <w:sz w:val="32"/>
          <w:szCs w:val="32"/>
          <w:u w:val="none"/>
        </w:rPr>
        <w:t>、</w:t>
      </w:r>
      <w:r>
        <w:rPr>
          <w:rFonts w:ascii="仿宋_GB2312"/>
          <w:b w:val="0"/>
          <w:bCs w:val="0"/>
          <w:sz w:val="32"/>
          <w:szCs w:val="32"/>
          <w:u w:val="none"/>
        </w:rPr>
        <w:t>金湾区、鹤洲</w:t>
      </w:r>
      <w:r>
        <w:rPr>
          <w:rFonts w:hint="eastAsia" w:ascii="仿宋_GB2312"/>
          <w:b w:val="0"/>
          <w:bCs w:val="0"/>
          <w:sz w:val="32"/>
          <w:szCs w:val="32"/>
          <w:u w:val="none"/>
        </w:rPr>
        <w:t>新区（筹）</w:t>
      </w:r>
      <w:r>
        <w:rPr>
          <w:rFonts w:ascii="仿宋_GB2312"/>
          <w:b w:val="0"/>
          <w:bCs w:val="0"/>
          <w:sz w:val="32"/>
          <w:szCs w:val="32"/>
          <w:u w:val="none"/>
        </w:rPr>
        <w:t>、横琴</w:t>
      </w:r>
      <w:r>
        <w:rPr>
          <w:rFonts w:hint="eastAsia" w:ascii="仿宋_GB2312"/>
          <w:b w:val="0"/>
          <w:bCs w:val="0"/>
          <w:sz w:val="32"/>
          <w:szCs w:val="32"/>
          <w:u w:val="none"/>
        </w:rPr>
        <w:t>粤澳深度合作区</w:t>
      </w:r>
      <w:r>
        <w:rPr>
          <w:rFonts w:ascii="仿宋_GB2312"/>
          <w:b w:val="0"/>
          <w:bCs w:val="0"/>
          <w:sz w:val="32"/>
          <w:szCs w:val="32"/>
          <w:u w:val="none"/>
        </w:rPr>
        <w:t>等</w:t>
      </w:r>
      <w:r>
        <w:rPr>
          <w:rFonts w:hint="eastAsia"/>
          <w:b w:val="0"/>
          <w:bCs w:val="0"/>
          <w:sz w:val="32"/>
          <w:szCs w:val="32"/>
          <w:u w:val="none"/>
        </w:rPr>
        <w:t>6</w:t>
      </w:r>
      <w:r>
        <w:rPr>
          <w:rFonts w:hint="eastAsia" w:ascii="仿宋_GB2312"/>
          <w:b w:val="0"/>
          <w:bCs w:val="0"/>
          <w:sz w:val="32"/>
          <w:szCs w:val="32"/>
          <w:u w:val="none"/>
        </w:rPr>
        <w:t>个一级防灾分区（片区</w:t>
      </w:r>
      <w:r>
        <w:rPr>
          <w:rFonts w:ascii="仿宋_GB2312"/>
          <w:b w:val="0"/>
          <w:bCs w:val="0"/>
          <w:sz w:val="32"/>
          <w:szCs w:val="32"/>
          <w:u w:val="none"/>
        </w:rPr>
        <w:t>）</w:t>
      </w:r>
      <w:r>
        <w:rPr>
          <w:rFonts w:hint="eastAsia" w:ascii="仿宋_GB2312"/>
          <w:b w:val="0"/>
          <w:bCs w:val="0"/>
          <w:sz w:val="32"/>
          <w:szCs w:val="32"/>
          <w:u w:val="none"/>
        </w:rPr>
        <w:t>，</w:t>
      </w:r>
      <w:r>
        <w:rPr>
          <w:b w:val="0"/>
          <w:bCs w:val="0"/>
          <w:sz w:val="32"/>
          <w:szCs w:val="32"/>
          <w:u w:val="none"/>
        </w:rPr>
        <w:t>26</w:t>
      </w:r>
      <w:r>
        <w:rPr>
          <w:rFonts w:hint="eastAsia" w:ascii="仿宋_GB2312"/>
          <w:b w:val="0"/>
          <w:bCs w:val="0"/>
          <w:sz w:val="32"/>
          <w:szCs w:val="32"/>
          <w:u w:val="none"/>
        </w:rPr>
        <w:t>个二级防灾分区（基本城市组团</w:t>
      </w:r>
      <w:r>
        <w:rPr>
          <w:rFonts w:ascii="仿宋_GB2312"/>
          <w:b w:val="0"/>
          <w:bCs w:val="0"/>
          <w:sz w:val="32"/>
          <w:szCs w:val="32"/>
          <w:u w:val="none"/>
        </w:rPr>
        <w:t>）</w:t>
      </w:r>
      <w:r>
        <w:rPr>
          <w:rFonts w:hint="eastAsia" w:ascii="仿宋_GB2312"/>
          <w:b w:val="0"/>
          <w:bCs w:val="0"/>
          <w:sz w:val="32"/>
          <w:szCs w:val="32"/>
          <w:u w:val="none"/>
        </w:rPr>
        <w:t>，若干个三级防灾分区（邻里）。人防规划防护片区应与一级防灾分区（片区）对应，提高城市防空抗毁能力。</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合理</w:t>
      </w:r>
      <w:r>
        <w:rPr>
          <w:rFonts w:ascii="仿宋_GB2312"/>
          <w:b w:val="0"/>
          <w:bCs w:val="0"/>
          <w:sz w:val="32"/>
          <w:szCs w:val="32"/>
          <w:u w:val="none"/>
        </w:rPr>
        <w:t>布局</w:t>
      </w:r>
      <w:r>
        <w:rPr>
          <w:rFonts w:hint="eastAsia" w:ascii="仿宋_GB2312"/>
          <w:b w:val="0"/>
          <w:bCs w:val="0"/>
          <w:sz w:val="32"/>
          <w:szCs w:val="32"/>
          <w:u w:val="none"/>
        </w:rPr>
        <w:t>防灾</w:t>
      </w:r>
      <w:r>
        <w:rPr>
          <w:rFonts w:ascii="仿宋_GB2312"/>
          <w:b w:val="0"/>
          <w:bCs w:val="0"/>
          <w:sz w:val="32"/>
          <w:szCs w:val="32"/>
          <w:u w:val="none"/>
        </w:rPr>
        <w:t>减灾设施。提升</w:t>
      </w:r>
      <w:r>
        <w:rPr>
          <w:rFonts w:hint="eastAsia" w:ascii="仿宋_GB2312"/>
          <w:b w:val="0"/>
          <w:bCs w:val="0"/>
          <w:sz w:val="32"/>
          <w:szCs w:val="32"/>
          <w:u w:val="none"/>
        </w:rPr>
        <w:t>防灾</w:t>
      </w:r>
      <w:r>
        <w:rPr>
          <w:rFonts w:ascii="仿宋_GB2312"/>
          <w:b w:val="0"/>
          <w:bCs w:val="0"/>
          <w:sz w:val="32"/>
          <w:szCs w:val="32"/>
          <w:u w:val="none"/>
        </w:rPr>
        <w:t>设施综合利用能力</w:t>
      </w:r>
      <w:r>
        <w:rPr>
          <w:rFonts w:hint="eastAsia" w:ascii="仿宋_GB2312"/>
          <w:b w:val="0"/>
          <w:bCs w:val="0"/>
          <w:sz w:val="32"/>
          <w:szCs w:val="32"/>
          <w:u w:val="none"/>
        </w:rPr>
        <w:t>，依据防灾分区级别、</w:t>
      </w:r>
      <w:r>
        <w:rPr>
          <w:rFonts w:ascii="仿宋_GB2312"/>
          <w:b w:val="0"/>
          <w:bCs w:val="0"/>
          <w:sz w:val="32"/>
          <w:szCs w:val="32"/>
          <w:u w:val="none"/>
        </w:rPr>
        <w:t>管理</w:t>
      </w:r>
      <w:r>
        <w:rPr>
          <w:rFonts w:hint="eastAsia" w:ascii="仿宋_GB2312"/>
          <w:b w:val="0"/>
          <w:bCs w:val="0"/>
          <w:sz w:val="32"/>
          <w:szCs w:val="32"/>
          <w:u w:val="none"/>
        </w:rPr>
        <w:t>范围和</w:t>
      </w:r>
      <w:r>
        <w:rPr>
          <w:rFonts w:ascii="仿宋_GB2312"/>
          <w:b w:val="0"/>
          <w:bCs w:val="0"/>
          <w:sz w:val="32"/>
          <w:szCs w:val="32"/>
          <w:u w:val="none"/>
        </w:rPr>
        <w:t>人口</w:t>
      </w:r>
      <w:r>
        <w:rPr>
          <w:rFonts w:hint="eastAsia" w:ascii="仿宋_GB2312"/>
          <w:b w:val="0"/>
          <w:bCs w:val="0"/>
          <w:sz w:val="32"/>
          <w:szCs w:val="32"/>
          <w:u w:val="none"/>
        </w:rPr>
        <w:t>规模等，从</w:t>
      </w:r>
      <w:r>
        <w:rPr>
          <w:rFonts w:hint="eastAsia"/>
          <w:b w:val="0"/>
          <w:bCs w:val="0"/>
          <w:sz w:val="32"/>
          <w:szCs w:val="32"/>
          <w:u w:val="none"/>
        </w:rPr>
        <w:t>应急</w:t>
      </w:r>
      <w:r>
        <w:rPr>
          <w:rFonts w:hint="eastAsia" w:ascii="仿宋_GB2312"/>
          <w:b w:val="0"/>
          <w:bCs w:val="0"/>
          <w:sz w:val="32"/>
          <w:szCs w:val="32"/>
          <w:u w:val="none"/>
        </w:rPr>
        <w:t>避难、防灾工程、应急保障、应急服务四个方面进行设施配置。</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加强</w:t>
      </w:r>
      <w:r>
        <w:rPr>
          <w:rFonts w:ascii="仿宋_GB2312"/>
          <w:b w:val="0"/>
          <w:bCs w:val="0"/>
          <w:sz w:val="32"/>
          <w:szCs w:val="32"/>
          <w:u w:val="none"/>
        </w:rPr>
        <w:t>城市风险及安全管控。</w:t>
      </w:r>
      <w:r>
        <w:rPr>
          <w:rFonts w:hint="eastAsia" w:ascii="仿宋_GB2312"/>
          <w:b w:val="0"/>
          <w:bCs w:val="0"/>
          <w:sz w:val="32"/>
          <w:szCs w:val="32"/>
          <w:u w:val="none"/>
        </w:rPr>
        <w:t>划定市化工园区，推动化工产业集中布局，专门用于危险化学品的生产、储存。划定化工园区安全控制线，保障化工园区周边安全。继续推进</w:t>
      </w:r>
      <w:r>
        <w:rPr>
          <w:rFonts w:ascii="仿宋_GB2312"/>
          <w:b w:val="0"/>
          <w:bCs w:val="0"/>
          <w:sz w:val="32"/>
          <w:szCs w:val="32"/>
          <w:u w:val="none"/>
        </w:rPr>
        <w:t>城市风险评估</w:t>
      </w:r>
      <w:r>
        <w:rPr>
          <w:rFonts w:hint="eastAsia" w:ascii="仿宋_GB2312"/>
          <w:b w:val="0"/>
          <w:bCs w:val="0"/>
          <w:sz w:val="32"/>
          <w:szCs w:val="32"/>
          <w:u w:val="none"/>
        </w:rPr>
        <w:t>。</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275" w:name="_Toc17846"/>
      <w:r>
        <w:rPr>
          <w:b w:val="0"/>
          <w:bCs w:val="0"/>
          <w:sz w:val="32"/>
          <w:szCs w:val="32"/>
          <w:u w:val="none"/>
          <w:lang w:val="en-US"/>
        </w:rPr>
        <w:t>高标准</w:t>
      </w:r>
      <w:r>
        <w:rPr>
          <w:rFonts w:hint="eastAsia"/>
          <w:b w:val="0"/>
          <w:bCs w:val="0"/>
          <w:sz w:val="32"/>
          <w:szCs w:val="32"/>
          <w:u w:val="none"/>
          <w:lang w:val="en-US"/>
        </w:rPr>
        <w:t>建设</w:t>
      </w:r>
      <w:r>
        <w:rPr>
          <w:b w:val="0"/>
          <w:bCs w:val="0"/>
          <w:sz w:val="32"/>
          <w:szCs w:val="32"/>
          <w:u w:val="none"/>
          <w:lang w:val="en-US"/>
        </w:rPr>
        <w:t>生命</w:t>
      </w:r>
      <w:r>
        <w:rPr>
          <w:rFonts w:hint="eastAsia"/>
          <w:b w:val="0"/>
          <w:bCs w:val="0"/>
          <w:sz w:val="32"/>
          <w:szCs w:val="32"/>
          <w:u w:val="none"/>
          <w:lang w:val="en-US"/>
        </w:rPr>
        <w:t>线系统</w:t>
      </w:r>
      <w:bookmarkEnd w:id="275"/>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加强供水、粮食、能源、公共</w:t>
      </w:r>
      <w:r>
        <w:rPr>
          <w:rFonts w:hint="eastAsia"/>
          <w:b w:val="0"/>
          <w:bCs w:val="0"/>
          <w:sz w:val="32"/>
          <w:szCs w:val="32"/>
          <w:u w:val="none"/>
        </w:rPr>
        <w:t>卫生</w:t>
      </w:r>
      <w:r>
        <w:rPr>
          <w:rFonts w:hint="eastAsia" w:ascii="仿宋_GB2312"/>
          <w:b w:val="0"/>
          <w:bCs w:val="0"/>
          <w:sz w:val="32"/>
          <w:szCs w:val="32"/>
          <w:u w:val="none"/>
        </w:rPr>
        <w:t>等战略保障，构建“市-行政区（功能区）-镇街-社区（村）”等四级应急保障体系。开展生命线系统安全评估，高标准建设城市供水、供电、通信、交通运输等应急保障城市正常运行的重大生命线工程，包括珠海大道、机场路、迎宾路、九洲大道等沿线重大生命线，建立合理高效救援疏散线路，保障生命线畅通。</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276" w:name="_Toc25807"/>
      <w:r>
        <w:rPr>
          <w:rFonts w:hint="eastAsia"/>
          <w:b w:val="0"/>
          <w:bCs w:val="0"/>
          <w:sz w:val="32"/>
          <w:szCs w:val="32"/>
          <w:u w:val="none"/>
          <w:lang w:val="en-US"/>
        </w:rPr>
        <w:t>构建应急避难及疏散</w:t>
      </w:r>
      <w:r>
        <w:rPr>
          <w:b w:val="0"/>
          <w:bCs w:val="0"/>
          <w:sz w:val="32"/>
          <w:szCs w:val="32"/>
          <w:u w:val="none"/>
          <w:lang w:val="en-US"/>
        </w:rPr>
        <w:t>救援空间网络体系</w:t>
      </w:r>
      <w:bookmarkEnd w:id="276"/>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完善应急避难场所建设。利用公园、绿地、广场、体育场、学校、地下空间、其他开阔场地等公共设施资源，建立布局合理的</w:t>
      </w:r>
      <w:r>
        <w:rPr>
          <w:rFonts w:ascii="仿宋_GB2312"/>
          <w:b w:val="0"/>
          <w:bCs w:val="0"/>
          <w:sz w:val="32"/>
          <w:szCs w:val="32"/>
          <w:u w:val="none"/>
        </w:rPr>
        <w:t>“</w:t>
      </w:r>
      <w:r>
        <w:rPr>
          <w:rFonts w:hint="eastAsia" w:ascii="仿宋_GB2312"/>
          <w:b w:val="0"/>
          <w:bCs w:val="0"/>
          <w:sz w:val="32"/>
          <w:szCs w:val="32"/>
          <w:u w:val="none"/>
        </w:rPr>
        <w:t>市-行政区（功能区）-镇街-社区（村）</w:t>
      </w:r>
      <w:r>
        <w:rPr>
          <w:rFonts w:ascii="仿宋_GB2312"/>
          <w:b w:val="0"/>
          <w:bCs w:val="0"/>
          <w:sz w:val="32"/>
          <w:szCs w:val="32"/>
          <w:u w:val="none"/>
        </w:rPr>
        <w:t>”</w:t>
      </w:r>
      <w:r>
        <w:rPr>
          <w:rFonts w:hint="eastAsia" w:ascii="仿宋_GB2312"/>
          <w:b w:val="0"/>
          <w:bCs w:val="0"/>
          <w:sz w:val="32"/>
          <w:szCs w:val="32"/>
          <w:u w:val="none"/>
        </w:rPr>
        <w:t>四级避难场所体系。至</w:t>
      </w:r>
      <w:r>
        <w:rPr>
          <w:rFonts w:hint="eastAsia"/>
          <w:b w:val="0"/>
          <w:bCs w:val="0"/>
          <w:sz w:val="32"/>
          <w:szCs w:val="32"/>
          <w:u w:val="none"/>
        </w:rPr>
        <w:t>2035</w:t>
      </w:r>
      <w:r>
        <w:rPr>
          <w:rFonts w:hint="eastAsia" w:ascii="仿宋_GB2312"/>
          <w:b w:val="0"/>
          <w:bCs w:val="0"/>
          <w:sz w:val="32"/>
          <w:szCs w:val="32"/>
          <w:u w:val="none"/>
        </w:rPr>
        <w:t>年</w:t>
      </w:r>
      <w:r>
        <w:rPr>
          <w:rFonts w:ascii="仿宋_GB2312"/>
          <w:b w:val="0"/>
          <w:bCs w:val="0"/>
          <w:sz w:val="32"/>
          <w:szCs w:val="32"/>
          <w:u w:val="none"/>
        </w:rPr>
        <w:t>，</w:t>
      </w:r>
      <w:r>
        <w:rPr>
          <w:rFonts w:hint="eastAsia" w:ascii="仿宋_GB2312"/>
          <w:b w:val="0"/>
          <w:bCs w:val="0"/>
          <w:sz w:val="32"/>
          <w:szCs w:val="32"/>
          <w:u w:val="none"/>
        </w:rPr>
        <w:t>全市建设</w:t>
      </w:r>
      <w:r>
        <w:rPr>
          <w:rFonts w:hint="eastAsia"/>
          <w:b w:val="0"/>
          <w:bCs w:val="0"/>
          <w:sz w:val="32"/>
          <w:szCs w:val="32"/>
          <w:u w:val="none"/>
        </w:rPr>
        <w:t>10</w:t>
      </w:r>
      <w:r>
        <w:rPr>
          <w:rFonts w:hint="eastAsia" w:ascii="仿宋_GB2312"/>
          <w:b w:val="0"/>
          <w:bCs w:val="0"/>
          <w:sz w:val="32"/>
          <w:szCs w:val="32"/>
          <w:u w:val="none"/>
        </w:rPr>
        <w:t>个以上中心级应急避难场所，承担全市的应急避难任务，包括珠海市体育中心、珠海科技学院、斗门体育中心、中山大学珠海分校等。</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强化应急救援、疏散网络。合理确定应急疏散救援范围，全市避难场所</w:t>
      </w:r>
      <w:r>
        <w:rPr>
          <w:rFonts w:hint="eastAsia"/>
          <w:b w:val="0"/>
          <w:bCs w:val="0"/>
          <w:sz w:val="32"/>
          <w:szCs w:val="32"/>
          <w:u w:val="none"/>
        </w:rPr>
        <w:t>30</w:t>
      </w:r>
      <w:r>
        <w:rPr>
          <w:rFonts w:hint="eastAsia" w:ascii="仿宋_GB2312"/>
          <w:b w:val="0"/>
          <w:bCs w:val="0"/>
          <w:sz w:val="32"/>
          <w:szCs w:val="32"/>
          <w:u w:val="none"/>
        </w:rPr>
        <w:t>分钟之内步行可达，避险服务半径</w:t>
      </w:r>
      <w:r>
        <w:rPr>
          <w:rFonts w:hint="eastAsia"/>
          <w:b w:val="0"/>
          <w:bCs w:val="0"/>
          <w:sz w:val="32"/>
          <w:szCs w:val="32"/>
          <w:u w:val="none"/>
        </w:rPr>
        <w:t>2000</w:t>
      </w:r>
      <w:r>
        <w:rPr>
          <w:rFonts w:hint="eastAsia" w:ascii="仿宋_GB2312"/>
          <w:b w:val="0"/>
          <w:bCs w:val="0"/>
          <w:sz w:val="32"/>
          <w:szCs w:val="32"/>
          <w:u w:val="none"/>
        </w:rPr>
        <w:t>米内可覆盖。建立水、陆、空三位一体的救援网络，以码头、交通场站、停机坪等为节点，构建救援、疏散多级网络体系。</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277" w:name="_Toc7035"/>
      <w:r>
        <w:rPr>
          <w:rFonts w:hint="eastAsia"/>
          <w:b w:val="0"/>
          <w:bCs w:val="0"/>
          <w:sz w:val="32"/>
          <w:szCs w:val="32"/>
          <w:u w:val="none"/>
          <w:lang w:val="en-US"/>
        </w:rPr>
        <w:t>建立综合</w:t>
      </w:r>
      <w:r>
        <w:rPr>
          <w:b w:val="0"/>
          <w:bCs w:val="0"/>
          <w:sz w:val="32"/>
          <w:szCs w:val="32"/>
          <w:u w:val="none"/>
          <w:lang w:val="en-US"/>
        </w:rPr>
        <w:t>的</w:t>
      </w:r>
      <w:r>
        <w:rPr>
          <w:rFonts w:hint="eastAsia"/>
          <w:b w:val="0"/>
          <w:bCs w:val="0"/>
          <w:sz w:val="32"/>
          <w:szCs w:val="32"/>
          <w:u w:val="none"/>
          <w:lang w:val="en-US"/>
        </w:rPr>
        <w:t>消防救援体系</w:t>
      </w:r>
      <w:bookmarkEnd w:id="277"/>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构建全域消防救援力量体系。优化消防站布局，缩短灭火救援响应时间，实现城市建成区消防救援</w:t>
      </w:r>
      <w:r>
        <w:rPr>
          <w:rFonts w:hint="eastAsia"/>
          <w:b w:val="0"/>
          <w:bCs w:val="0"/>
          <w:sz w:val="32"/>
          <w:szCs w:val="32"/>
          <w:u w:val="none"/>
        </w:rPr>
        <w:t>5</w:t>
      </w:r>
      <w:r>
        <w:rPr>
          <w:rFonts w:hint="eastAsia" w:ascii="仿宋_GB2312"/>
          <w:b w:val="0"/>
          <w:bCs w:val="0"/>
          <w:sz w:val="32"/>
          <w:szCs w:val="32"/>
          <w:u w:val="none"/>
        </w:rPr>
        <w:t>分钟全覆盖。协同澳门及周边城市建设粤港澳大湾区区域级消防设施</w:t>
      </w:r>
      <w:r>
        <w:rPr>
          <w:rFonts w:hint="eastAsia"/>
          <w:b w:val="0"/>
          <w:bCs w:val="0"/>
          <w:sz w:val="32"/>
          <w:szCs w:val="32"/>
          <w:u w:val="none"/>
        </w:rPr>
        <w:t>1</w:t>
      </w:r>
      <w:r>
        <w:rPr>
          <w:rFonts w:hint="eastAsia" w:ascii="仿宋_GB2312"/>
          <w:b w:val="0"/>
          <w:bCs w:val="0"/>
          <w:sz w:val="32"/>
          <w:szCs w:val="32"/>
          <w:u w:val="none"/>
        </w:rPr>
        <w:t>处，珠澳共建消防救援培训基地</w:t>
      </w:r>
      <w:r>
        <w:rPr>
          <w:rFonts w:hint="eastAsia"/>
          <w:b w:val="0"/>
          <w:bCs w:val="0"/>
          <w:sz w:val="32"/>
          <w:szCs w:val="32"/>
          <w:u w:val="none"/>
        </w:rPr>
        <w:t>1</w:t>
      </w:r>
      <w:r>
        <w:rPr>
          <w:rFonts w:hint="eastAsia" w:ascii="仿宋_GB2312"/>
          <w:b w:val="0"/>
          <w:bCs w:val="0"/>
          <w:sz w:val="32"/>
          <w:szCs w:val="32"/>
          <w:u w:val="none"/>
        </w:rPr>
        <w:t>处。至</w:t>
      </w:r>
      <w:r>
        <w:rPr>
          <w:rFonts w:hint="eastAsia"/>
          <w:b w:val="0"/>
          <w:bCs w:val="0"/>
          <w:sz w:val="32"/>
          <w:szCs w:val="32"/>
          <w:u w:val="none"/>
        </w:rPr>
        <w:t>2035</w:t>
      </w:r>
      <w:r>
        <w:rPr>
          <w:rFonts w:hint="eastAsia" w:ascii="仿宋_GB2312"/>
          <w:b w:val="0"/>
          <w:bCs w:val="0"/>
          <w:sz w:val="32"/>
          <w:szCs w:val="32"/>
          <w:u w:val="none"/>
        </w:rPr>
        <w:t>年，采用建强中心站、建密小型站的方式，建成不少于</w:t>
      </w:r>
      <w:r>
        <w:rPr>
          <w:rFonts w:hint="eastAsia"/>
          <w:b w:val="0"/>
          <w:bCs w:val="0"/>
          <w:sz w:val="32"/>
          <w:szCs w:val="32"/>
          <w:u w:val="none"/>
        </w:rPr>
        <w:t>100</w:t>
      </w:r>
      <w:r>
        <w:rPr>
          <w:rFonts w:hint="eastAsia" w:ascii="仿宋_GB2312"/>
          <w:b w:val="0"/>
          <w:bCs w:val="0"/>
          <w:sz w:val="32"/>
          <w:szCs w:val="32"/>
          <w:u w:val="none"/>
        </w:rPr>
        <w:t>座</w:t>
      </w:r>
      <w:r>
        <w:rPr>
          <w:rFonts w:ascii="仿宋_GB2312"/>
          <w:b w:val="0"/>
          <w:bCs w:val="0"/>
          <w:sz w:val="32"/>
          <w:szCs w:val="32"/>
          <w:u w:val="none"/>
        </w:rPr>
        <w:t>消防</w:t>
      </w:r>
      <w:r>
        <w:rPr>
          <w:rFonts w:hint="eastAsia" w:ascii="仿宋_GB2312"/>
          <w:b w:val="0"/>
          <w:bCs w:val="0"/>
          <w:sz w:val="32"/>
          <w:szCs w:val="32"/>
          <w:u w:val="none"/>
        </w:rPr>
        <w:t>站</w:t>
      </w:r>
      <w:r>
        <w:rPr>
          <w:rFonts w:ascii="仿宋_GB2312"/>
          <w:b w:val="0"/>
          <w:bCs w:val="0"/>
          <w:sz w:val="32"/>
          <w:szCs w:val="32"/>
          <w:u w:val="none"/>
        </w:rPr>
        <w:t>，</w:t>
      </w:r>
      <w:r>
        <w:rPr>
          <w:rFonts w:hint="eastAsia" w:ascii="仿宋_GB2312"/>
          <w:b w:val="0"/>
          <w:bCs w:val="0"/>
          <w:sz w:val="32"/>
          <w:szCs w:val="32"/>
          <w:u w:val="none"/>
        </w:rPr>
        <w:t>结合</w:t>
      </w:r>
      <w:r>
        <w:rPr>
          <w:rFonts w:ascii="仿宋_GB2312"/>
          <w:b w:val="0"/>
          <w:bCs w:val="0"/>
          <w:sz w:val="32"/>
          <w:szCs w:val="32"/>
          <w:u w:val="none"/>
        </w:rPr>
        <w:t>城市</w:t>
      </w:r>
      <w:r>
        <w:rPr>
          <w:rFonts w:hint="eastAsia" w:ascii="仿宋_GB2312"/>
          <w:b w:val="0"/>
          <w:bCs w:val="0"/>
          <w:sz w:val="32"/>
          <w:szCs w:val="32"/>
          <w:u w:val="none"/>
        </w:rPr>
        <w:t>四级</w:t>
      </w:r>
      <w:r>
        <w:rPr>
          <w:rFonts w:ascii="仿宋_GB2312"/>
          <w:b w:val="0"/>
          <w:bCs w:val="0"/>
          <w:sz w:val="32"/>
          <w:szCs w:val="32"/>
          <w:u w:val="none"/>
        </w:rPr>
        <w:t>空间结构合理</w:t>
      </w:r>
      <w:r>
        <w:rPr>
          <w:rFonts w:hint="eastAsia" w:ascii="仿宋_GB2312"/>
          <w:b w:val="0"/>
          <w:bCs w:val="0"/>
          <w:sz w:val="32"/>
          <w:szCs w:val="32"/>
          <w:u w:val="none"/>
        </w:rPr>
        <w:t>规划预留战勤保障消防站、特勤消防站、普通消防站、小型普通消防站、水上消防站等用地。进一步</w:t>
      </w:r>
      <w:r>
        <w:rPr>
          <w:rFonts w:ascii="仿宋_GB2312"/>
          <w:b w:val="0"/>
          <w:bCs w:val="0"/>
          <w:sz w:val="32"/>
          <w:szCs w:val="32"/>
          <w:u w:val="none"/>
        </w:rPr>
        <w:t>完善“</w:t>
      </w:r>
      <w:r>
        <w:rPr>
          <w:rFonts w:hint="eastAsia" w:ascii="仿宋_GB2312"/>
          <w:b w:val="0"/>
          <w:bCs w:val="0"/>
          <w:sz w:val="32"/>
          <w:szCs w:val="32"/>
          <w:u w:val="none"/>
        </w:rPr>
        <w:t>市-行政区（功能区）-镇街-社区（村）</w:t>
      </w:r>
      <w:r>
        <w:rPr>
          <w:rFonts w:ascii="仿宋_GB2312"/>
          <w:b w:val="0"/>
          <w:bCs w:val="0"/>
          <w:sz w:val="32"/>
          <w:szCs w:val="32"/>
          <w:u w:val="none"/>
        </w:rPr>
        <w:t>”</w:t>
      </w:r>
      <w:r>
        <w:rPr>
          <w:rFonts w:hint="eastAsia" w:ascii="仿宋_GB2312"/>
          <w:b w:val="0"/>
          <w:bCs w:val="0"/>
          <w:sz w:val="32"/>
          <w:szCs w:val="32"/>
          <w:u w:val="none"/>
        </w:rPr>
        <w:t>四级</w:t>
      </w:r>
      <w:r>
        <w:rPr>
          <w:rFonts w:ascii="仿宋_GB2312"/>
          <w:b w:val="0"/>
          <w:bCs w:val="0"/>
          <w:sz w:val="32"/>
          <w:szCs w:val="32"/>
          <w:u w:val="none"/>
        </w:rPr>
        <w:t>消防监督治理体系</w:t>
      </w:r>
      <w:r>
        <w:rPr>
          <w:rFonts w:hint="eastAsia" w:ascii="仿宋_GB2312"/>
          <w:b w:val="0"/>
          <w:bCs w:val="0"/>
          <w:sz w:val="32"/>
          <w:szCs w:val="32"/>
          <w:u w:val="none"/>
        </w:rPr>
        <w:t>。</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278" w:name="_Toc13057"/>
      <w:r>
        <w:rPr>
          <w:rFonts w:hint="eastAsia"/>
          <w:b w:val="0"/>
          <w:bCs w:val="0"/>
          <w:sz w:val="32"/>
          <w:szCs w:val="32"/>
          <w:u w:val="none"/>
          <w:lang w:val="en-US"/>
        </w:rPr>
        <w:t>构建多层防线的防潮（洪）排涝体系</w:t>
      </w:r>
      <w:bookmarkEnd w:id="278"/>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构建“山洪蓄排、河湖防涝、防洪外挡”的防潮（洪）排涝体系。划示洪涝风险控制线，即为保障防洪排涝系统的完整性和通达性，为雨洪水滞蓄和行泄划定的自然空间和重大调蓄设施用地范围，包括河湖湿地、坑塘农区、绿地洼地、涝水行泄通道等，以及具备雨水蓄排功能的地下调蓄设施和隧道等预留的空间。增设山洪调蓄湖，缓滞山体径流，减小雨季下游排洪压力，补充旱季下游河湖生态基流。提升城区防涝标准，强化蓄排平衡，通过增加调蓄水面、疏通行泄通道、增设排涝泵站、改扩建水闸等措施，协同中山制定前山河和中珠渠等珠中跨界流域防洪排涝标准，提升防涝能力。重点推进大湾区堤防巩固提升工程、珠江三角洲及河口整治工程，加强沿海防风林和生态海堤建设，提升应对海平面上升影响的能力。</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lang w:val="en-US"/>
        </w:rPr>
      </w:pPr>
      <w:bookmarkStart w:id="279" w:name="_Toc4991"/>
      <w:r>
        <w:rPr>
          <w:rFonts w:hint="eastAsia"/>
          <w:b w:val="0"/>
          <w:bCs w:val="0"/>
          <w:sz w:val="32"/>
          <w:szCs w:val="32"/>
          <w:u w:val="none"/>
          <w:lang w:val="en-US"/>
        </w:rPr>
        <w:t>全面提升城市人防能力</w:t>
      </w:r>
      <w:bookmarkEnd w:id="279"/>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优化人防工程、地下空间开发布局，</w:t>
      </w:r>
      <w:r>
        <w:rPr>
          <w:rFonts w:hint="eastAsia"/>
          <w:b w:val="0"/>
          <w:bCs w:val="0"/>
          <w:sz w:val="32"/>
          <w:szCs w:val="32"/>
          <w:u w:val="none"/>
        </w:rPr>
        <w:t>健全</w:t>
      </w:r>
      <w:r>
        <w:rPr>
          <w:rFonts w:hint="eastAsia" w:ascii="仿宋_GB2312"/>
          <w:b w:val="0"/>
          <w:bCs w:val="0"/>
          <w:sz w:val="32"/>
          <w:szCs w:val="32"/>
          <w:u w:val="none"/>
        </w:rPr>
        <w:t>人民防空组织指挥体系和信息保障体系。结合城市轨道交通及站点、新区开发、城市更新、基础设施建设、地下交通、地下综合管廊等重点工程建设，加强城市地下空间复合利用。结合应急避难设施规划制定人防设施战时疏散方案。至</w:t>
      </w:r>
      <w:r>
        <w:rPr>
          <w:rFonts w:hint="eastAsia"/>
          <w:b w:val="0"/>
          <w:bCs w:val="0"/>
          <w:sz w:val="32"/>
          <w:szCs w:val="32"/>
          <w:u w:val="none"/>
        </w:rPr>
        <w:t>2035</w:t>
      </w:r>
      <w:r>
        <w:rPr>
          <w:rFonts w:hint="eastAsia" w:ascii="仿宋_GB2312"/>
          <w:b w:val="0"/>
          <w:bCs w:val="0"/>
          <w:sz w:val="32"/>
          <w:szCs w:val="32"/>
          <w:u w:val="none"/>
        </w:rPr>
        <w:t>年，全市人防工程人均建筑面积不低于</w:t>
      </w:r>
      <w:r>
        <w:rPr>
          <w:rFonts w:hint="eastAsia"/>
          <w:b w:val="0"/>
          <w:bCs w:val="0"/>
          <w:sz w:val="32"/>
          <w:szCs w:val="32"/>
          <w:u w:val="none"/>
        </w:rPr>
        <w:t>2</w:t>
      </w:r>
      <w:r>
        <w:rPr>
          <w:rFonts w:hint="eastAsia" w:ascii="仿宋_GB2312"/>
          <w:b w:val="0"/>
          <w:bCs w:val="0"/>
          <w:sz w:val="32"/>
          <w:szCs w:val="32"/>
          <w:u w:val="none"/>
        </w:rPr>
        <w:t>.</w:t>
      </w:r>
      <w:r>
        <w:rPr>
          <w:b w:val="0"/>
          <w:bCs w:val="0"/>
          <w:sz w:val="32"/>
          <w:szCs w:val="32"/>
          <w:u w:val="none"/>
        </w:rPr>
        <w:t>5</w:t>
      </w:r>
      <w:r>
        <w:rPr>
          <w:rFonts w:hint="eastAsia" w:ascii="仿宋_GB2312"/>
          <w:b w:val="0"/>
          <w:bCs w:val="0"/>
          <w:sz w:val="32"/>
          <w:szCs w:val="32"/>
          <w:u w:val="none"/>
        </w:rPr>
        <w:t>平方米。</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lang w:val="en-US"/>
        </w:rPr>
      </w:pPr>
      <w:bookmarkStart w:id="280" w:name="_Toc12230"/>
      <w:r>
        <w:rPr>
          <w:rFonts w:hint="eastAsia"/>
          <w:b w:val="0"/>
          <w:bCs w:val="0"/>
          <w:sz w:val="32"/>
          <w:szCs w:val="32"/>
          <w:u w:val="none"/>
          <w:lang w:val="en-US"/>
        </w:rPr>
        <w:t>提升地质灾害综合防治能力</w:t>
      </w:r>
      <w:bookmarkEnd w:id="280"/>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开展地质灾害风险调查与防治区划。分析地质灾害孕灾条件、形成机理和发育规律，总结成灾模式，评价地质灾害</w:t>
      </w:r>
      <w:r>
        <w:rPr>
          <w:rFonts w:hint="eastAsia"/>
          <w:b w:val="0"/>
          <w:bCs w:val="0"/>
          <w:sz w:val="32"/>
          <w:szCs w:val="32"/>
          <w:u w:val="none"/>
        </w:rPr>
        <w:t>危险性</w:t>
      </w:r>
      <w:r>
        <w:rPr>
          <w:rFonts w:hint="eastAsia" w:ascii="仿宋_GB2312"/>
          <w:b w:val="0"/>
          <w:bCs w:val="0"/>
          <w:sz w:val="32"/>
          <w:szCs w:val="32"/>
          <w:u w:val="none"/>
        </w:rPr>
        <w:t>，开展不同层次地质灾害风险区划，提出综合防治对策意见。开展</w:t>
      </w:r>
      <w:r>
        <w:rPr>
          <w:rFonts w:hint="eastAsia"/>
          <w:b w:val="0"/>
          <w:bCs w:val="0"/>
          <w:sz w:val="32"/>
          <w:szCs w:val="32"/>
          <w:u w:val="none"/>
        </w:rPr>
        <w:t>1</w:t>
      </w:r>
      <w:r>
        <w:rPr>
          <w:rFonts w:hint="eastAsia" w:ascii="仿宋_GB2312"/>
          <w:b w:val="0"/>
          <w:bCs w:val="0"/>
          <w:sz w:val="32"/>
          <w:szCs w:val="32"/>
          <w:u w:val="none"/>
        </w:rPr>
        <w:t>：</w:t>
      </w:r>
      <w:r>
        <w:rPr>
          <w:rFonts w:hint="eastAsia"/>
          <w:b w:val="0"/>
          <w:bCs w:val="0"/>
          <w:sz w:val="32"/>
          <w:szCs w:val="32"/>
          <w:u w:val="none"/>
        </w:rPr>
        <w:t>10000</w:t>
      </w:r>
      <w:r>
        <w:rPr>
          <w:rFonts w:hint="eastAsia" w:ascii="仿宋_GB2312"/>
          <w:b w:val="0"/>
          <w:bCs w:val="0"/>
          <w:sz w:val="32"/>
          <w:szCs w:val="32"/>
          <w:u w:val="none"/>
        </w:rPr>
        <w:t>重点区域地质灾害精细化调查，科学评价风险等级，明确风险管控措施和临灾转移避险指引。</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 xml:space="preserve">开展行业地质灾害风险点专项调查。实施住建、交通、铁路、能源等行业地质灾害风险点专项调查，进一步掌握削坡建房、公路（含农村道路）、铁路干线、石油天然气管道和电力设施等沿线周边地质灾害风险点情况，建立工作台账，落实防治措施。 </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 xml:space="preserve">推进地质灾害风险隐患综合治理工程。按照“即发现即治理”原则，组织实施对新增地质灾害隐患点避险搬迁或工程治理。做好各行业管理领域地质灾害风险点综合治理，重点实施削坡建房、公路（含农村道路）、铁路干线、石油天然气管道和电力设施等沿线周边地质灾害风险点综合治理，有效管控地质灾害风险。 </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构建风险隐患双控群测群防体系。将地质灾害群测群防体系逐步推广至行业风险点、风险区，构建“隐患（风险）点+</w:t>
      </w:r>
      <w:r>
        <w:rPr>
          <w:rFonts w:hint="eastAsia"/>
          <w:b w:val="0"/>
          <w:bCs w:val="0"/>
          <w:sz w:val="32"/>
          <w:szCs w:val="32"/>
          <w:u w:val="none"/>
        </w:rPr>
        <w:t>风险区</w:t>
      </w:r>
      <w:r>
        <w:rPr>
          <w:rFonts w:hint="eastAsia" w:ascii="仿宋_GB2312"/>
          <w:b w:val="0"/>
          <w:bCs w:val="0"/>
          <w:sz w:val="32"/>
          <w:szCs w:val="32"/>
          <w:u w:val="none"/>
        </w:rPr>
        <w:t xml:space="preserve">”双控管理的网格化群测群防体系。完善群测群防工作制度，加强群测群防人员管理和技术指导，强化装备更新和技能培训。 </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强化部门协作分工，落实地质灾害防治“三同时”制度。住建、交通、铁路、水利等行业严格落实铁路公路建设、水利水电工程建设、城镇建设等重大建设项目的地质灾害危险性评估制度并实施配套防治工程，严防人为活动诱发新增地质灾害风险隐患。</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lang w:val="en-US"/>
        </w:rPr>
      </w:pPr>
      <w:bookmarkStart w:id="281" w:name="_Toc18655"/>
      <w:r>
        <w:rPr>
          <w:rFonts w:hint="eastAsia"/>
          <w:b w:val="0"/>
          <w:bCs w:val="0"/>
          <w:sz w:val="32"/>
          <w:szCs w:val="32"/>
          <w:u w:val="none"/>
          <w:lang w:val="en-US"/>
        </w:rPr>
        <w:t>提升应急预警</w:t>
      </w:r>
      <w:r>
        <w:rPr>
          <w:b w:val="0"/>
          <w:bCs w:val="0"/>
          <w:sz w:val="32"/>
          <w:szCs w:val="32"/>
          <w:u w:val="none"/>
          <w:lang w:val="en-US"/>
        </w:rPr>
        <w:t>和</w:t>
      </w:r>
      <w:r>
        <w:rPr>
          <w:rFonts w:hint="eastAsia"/>
          <w:b w:val="0"/>
          <w:bCs w:val="0"/>
          <w:sz w:val="32"/>
          <w:szCs w:val="32"/>
          <w:u w:val="none"/>
          <w:lang w:val="en-US"/>
        </w:rPr>
        <w:t>处置能力</w:t>
      </w:r>
      <w:bookmarkEnd w:id="281"/>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ascii="仿宋_GB2312"/>
          <w:b w:val="0"/>
          <w:bCs w:val="0"/>
          <w:sz w:val="32"/>
          <w:szCs w:val="32"/>
          <w:u w:val="none"/>
        </w:rPr>
        <w:t>完善</w:t>
      </w:r>
      <w:r>
        <w:rPr>
          <w:rFonts w:hint="eastAsia" w:ascii="仿宋_GB2312"/>
          <w:b w:val="0"/>
          <w:bCs w:val="0"/>
          <w:sz w:val="32"/>
          <w:szCs w:val="32"/>
          <w:u w:val="none"/>
        </w:rPr>
        <w:t>陆地</w:t>
      </w:r>
      <w:r>
        <w:rPr>
          <w:rFonts w:ascii="仿宋_GB2312"/>
          <w:b w:val="0"/>
          <w:bCs w:val="0"/>
          <w:sz w:val="32"/>
          <w:szCs w:val="32"/>
          <w:u w:val="none"/>
        </w:rPr>
        <w:t>、海洋等</w:t>
      </w:r>
      <w:r>
        <w:rPr>
          <w:rFonts w:hint="eastAsia" w:ascii="仿宋_GB2312"/>
          <w:b w:val="0"/>
          <w:bCs w:val="0"/>
          <w:sz w:val="32"/>
          <w:szCs w:val="32"/>
          <w:u w:val="none"/>
        </w:rPr>
        <w:t>综合</w:t>
      </w:r>
      <w:r>
        <w:rPr>
          <w:rFonts w:ascii="仿宋_GB2312"/>
          <w:b w:val="0"/>
          <w:bCs w:val="0"/>
          <w:sz w:val="32"/>
          <w:szCs w:val="32"/>
          <w:u w:val="none"/>
        </w:rPr>
        <w:t>灾害监测预警体系</w:t>
      </w:r>
      <w:r>
        <w:rPr>
          <w:rFonts w:hint="eastAsia" w:ascii="仿宋_GB2312"/>
          <w:b w:val="0"/>
          <w:bCs w:val="0"/>
          <w:sz w:val="32"/>
          <w:szCs w:val="32"/>
          <w:u w:val="none"/>
        </w:rPr>
        <w:t>。建立灾害普查数据库，以镇街为单元定期开展灾害风险评估，</w:t>
      </w:r>
      <w:r>
        <w:rPr>
          <w:rFonts w:hint="eastAsia"/>
          <w:b w:val="0"/>
          <w:bCs w:val="0"/>
          <w:sz w:val="32"/>
          <w:szCs w:val="32"/>
          <w:u w:val="none"/>
        </w:rPr>
        <w:t>建立</w:t>
      </w:r>
      <w:r>
        <w:rPr>
          <w:rFonts w:hint="eastAsia" w:ascii="仿宋_GB2312"/>
          <w:b w:val="0"/>
          <w:bCs w:val="0"/>
          <w:sz w:val="32"/>
          <w:szCs w:val="32"/>
          <w:u w:val="none"/>
        </w:rPr>
        <w:t>动态在线监测预警系统，及时调度应急物资、应急力量等。</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科学</w:t>
      </w:r>
      <w:r>
        <w:rPr>
          <w:rFonts w:ascii="仿宋_GB2312"/>
          <w:b w:val="0"/>
          <w:bCs w:val="0"/>
          <w:sz w:val="32"/>
          <w:szCs w:val="32"/>
          <w:u w:val="none"/>
        </w:rPr>
        <w:t>制定应急预案</w:t>
      </w:r>
      <w:r>
        <w:rPr>
          <w:rFonts w:hint="eastAsia" w:ascii="仿宋_GB2312"/>
          <w:b w:val="0"/>
          <w:bCs w:val="0"/>
          <w:sz w:val="32"/>
          <w:szCs w:val="32"/>
          <w:u w:val="none"/>
        </w:rPr>
        <w:t>。涉及大型公共设施与公共空间人流车流疏散、城市生命线工程、消防、人防工程等城市重大公共安全的项目，应拟订突发情况应对措施和应急预案。充分利用应急管理平台，加强区域力量、应急物资等协调调度，提升对澳门等周边城市救援服务能力。</w:t>
      </w:r>
    </w:p>
    <w:p>
      <w:pPr>
        <w:pStyle w:val="81"/>
        <w:keepNext w:val="0"/>
        <w:keepLines w:val="0"/>
        <w:pageBreakBefore w:val="0"/>
        <w:widowControl w:val="0"/>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282" w:name="_Toc32309"/>
      <w:r>
        <w:rPr>
          <w:rFonts w:hint="eastAsia"/>
          <w:b w:val="0"/>
          <w:bCs w:val="0"/>
          <w:sz w:val="32"/>
          <w:szCs w:val="32"/>
          <w:u w:val="none"/>
        </w:rPr>
        <w:t>智慧城市</w:t>
      </w:r>
      <w:bookmarkEnd w:id="282"/>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283" w:name="_Toc15619"/>
      <w:r>
        <w:rPr>
          <w:rFonts w:hint="eastAsia"/>
          <w:b w:val="0"/>
          <w:bCs w:val="0"/>
          <w:sz w:val="32"/>
          <w:szCs w:val="32"/>
          <w:u w:val="none"/>
        </w:rPr>
        <w:t>推动智慧</w:t>
      </w:r>
      <w:r>
        <w:rPr>
          <w:rFonts w:hint="eastAsia"/>
          <w:b w:val="0"/>
          <w:bCs w:val="0"/>
          <w:sz w:val="32"/>
          <w:szCs w:val="32"/>
          <w:u w:val="none"/>
          <w:lang w:val="en-US"/>
        </w:rPr>
        <w:t>城市</w:t>
      </w:r>
      <w:r>
        <w:rPr>
          <w:rFonts w:hint="eastAsia"/>
          <w:b w:val="0"/>
          <w:bCs w:val="0"/>
          <w:sz w:val="32"/>
          <w:szCs w:val="32"/>
          <w:u w:val="none"/>
        </w:rPr>
        <w:t>新型基础设施建设</w:t>
      </w:r>
      <w:bookmarkEnd w:id="283"/>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布局需求驱动、适度超前、面向国际的新一代智慧城市信息基础设施。加快数字城市时空信息基础设施、大数据中心、通信核心机房、</w:t>
      </w:r>
      <w:r>
        <w:rPr>
          <w:rFonts w:hint="eastAsia" w:cs="Times New Roman"/>
          <w:b w:val="0"/>
          <w:bCs w:val="0"/>
          <w:kern w:val="0"/>
          <w:sz w:val="32"/>
          <w:szCs w:val="32"/>
          <w:u w:val="none"/>
        </w:rPr>
        <w:t>5G</w:t>
      </w:r>
      <w:r>
        <w:rPr>
          <w:rFonts w:hint="eastAsia" w:ascii="仿宋_GB2312" w:hAnsi="仿宋" w:cs="Times New Roman"/>
          <w:b w:val="0"/>
          <w:bCs w:val="0"/>
          <w:kern w:val="0"/>
          <w:sz w:val="32"/>
          <w:szCs w:val="32"/>
          <w:u w:val="none"/>
        </w:rPr>
        <w:t>+千兆光网“双千兆”网络、对澳对港国际海缆等重大新型基础设施建设，打造国际化数字基础设施示范区。统筹珠海市通信基础设施规划、建设和资源调配，构建“空、天、地”全方位一体化的动态感知网络，率先建设</w:t>
      </w:r>
      <w:r>
        <w:rPr>
          <w:rFonts w:hint="eastAsia" w:cs="Times New Roman"/>
          <w:b w:val="0"/>
          <w:bCs w:val="0"/>
          <w:kern w:val="0"/>
          <w:sz w:val="32"/>
          <w:szCs w:val="32"/>
          <w:u w:val="none"/>
        </w:rPr>
        <w:t>5G</w:t>
      </w:r>
      <w:r>
        <w:rPr>
          <w:rFonts w:hint="eastAsia" w:ascii="仿宋_GB2312" w:hAnsi="仿宋" w:cs="Times New Roman"/>
          <w:b w:val="0"/>
          <w:bCs w:val="0"/>
          <w:kern w:val="0"/>
          <w:sz w:val="32"/>
          <w:szCs w:val="32"/>
          <w:u w:val="none"/>
        </w:rPr>
        <w:t>网络全覆盖城市，为智慧城市运行提供数字化、智能化支撑保障。</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84" w:name="_Toc540"/>
      <w:r>
        <w:rPr>
          <w:rFonts w:hint="eastAsia"/>
          <w:b w:val="0"/>
          <w:bCs w:val="0"/>
          <w:sz w:val="32"/>
          <w:szCs w:val="32"/>
          <w:u w:val="none"/>
        </w:rPr>
        <w:t>推进精细化现代化城市治理</w:t>
      </w:r>
      <w:bookmarkEnd w:id="284"/>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黑体" w:hAnsi="黑体" w:eastAsia="黑体"/>
          <w:b w:val="0"/>
          <w:bCs w:val="0"/>
          <w:sz w:val="32"/>
          <w:szCs w:val="32"/>
          <w:u w:val="none"/>
        </w:rPr>
      </w:pPr>
      <w:r>
        <w:rPr>
          <w:rFonts w:hint="eastAsia" w:ascii="仿宋_GB2312" w:cs="Times New Roman"/>
          <w:b w:val="0"/>
          <w:bCs w:val="0"/>
          <w:sz w:val="32"/>
          <w:szCs w:val="32"/>
          <w:u w:val="none"/>
        </w:rPr>
        <w:t>持续升级国土空间基础信息平台、自然资源业务一体化平台，加快推进实景三维珠海建设，推动实景三维数据与自然资源业务深度融合，形成上下一致的国土空间基础数据资源体系和时空地理底板。构建“全域一张图、感知一张网、治理一平台”，超前布局数字孪生城市平台，打造数据驱动、算法智能、数字孪生的</w:t>
      </w:r>
      <w:r>
        <w:rPr>
          <w:rFonts w:hint="eastAsia"/>
          <w:b w:val="0"/>
          <w:bCs w:val="0"/>
          <w:sz w:val="32"/>
          <w:szCs w:val="32"/>
          <w:u w:val="none"/>
        </w:rPr>
        <w:t>城市</w:t>
      </w:r>
      <w:r>
        <w:rPr>
          <w:rFonts w:hint="eastAsia" w:ascii="仿宋_GB2312" w:cs="Times New Roman"/>
          <w:b w:val="0"/>
          <w:bCs w:val="0"/>
          <w:sz w:val="32"/>
          <w:szCs w:val="32"/>
          <w:u w:val="none"/>
        </w:rPr>
        <w:t>大脑。推动智慧城市运行管理指挥中心建设，增强城市治理灵敏感知、快速分析、迅捷处理能力，打造全国领先的新型智慧城市标杆。</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85" w:name="_Toc5236"/>
      <w:r>
        <w:rPr>
          <w:rFonts w:hint="eastAsia"/>
          <w:b w:val="0"/>
          <w:bCs w:val="0"/>
          <w:sz w:val="32"/>
          <w:szCs w:val="32"/>
          <w:u w:val="none"/>
        </w:rPr>
        <w:t>提供智慧</w:t>
      </w:r>
      <w:r>
        <w:rPr>
          <w:rFonts w:hint="eastAsia"/>
          <w:b w:val="0"/>
          <w:bCs w:val="0"/>
          <w:sz w:val="32"/>
          <w:szCs w:val="32"/>
          <w:u w:val="none"/>
          <w:lang w:val="en-US"/>
        </w:rPr>
        <w:t>高效</w:t>
      </w:r>
      <w:r>
        <w:rPr>
          <w:rFonts w:hint="eastAsia"/>
          <w:b w:val="0"/>
          <w:bCs w:val="0"/>
          <w:sz w:val="32"/>
          <w:szCs w:val="32"/>
          <w:u w:val="none"/>
        </w:rPr>
        <w:t>便捷民生服务</w:t>
      </w:r>
      <w:bookmarkEnd w:id="285"/>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cs="Times New Roman"/>
          <w:b w:val="0"/>
          <w:bCs w:val="0"/>
          <w:sz w:val="32"/>
          <w:szCs w:val="32"/>
          <w:u w:val="none"/>
        </w:rPr>
      </w:pPr>
      <w:r>
        <w:rPr>
          <w:rFonts w:hint="eastAsia" w:ascii="仿宋_GB2312" w:cs="Times New Roman"/>
          <w:b w:val="0"/>
          <w:bCs w:val="0"/>
          <w:sz w:val="32"/>
          <w:szCs w:val="32"/>
          <w:u w:val="none"/>
        </w:rPr>
        <w:t>创新应用人工智能、区块链等新一代信息技术，提升城市民生服务智慧化水平，推动公共服务资源高效配置。推广智慧</w:t>
      </w:r>
      <w:r>
        <w:rPr>
          <w:rFonts w:hint="eastAsia"/>
          <w:b w:val="0"/>
          <w:bCs w:val="0"/>
          <w:sz w:val="32"/>
          <w:szCs w:val="32"/>
          <w:u w:val="none"/>
        </w:rPr>
        <w:t>城市</w:t>
      </w:r>
      <w:r>
        <w:rPr>
          <w:rFonts w:hint="eastAsia" w:ascii="仿宋_GB2312" w:cs="Times New Roman"/>
          <w:b w:val="0"/>
          <w:bCs w:val="0"/>
          <w:sz w:val="32"/>
          <w:szCs w:val="32"/>
          <w:u w:val="none"/>
        </w:rPr>
        <w:t>服务、智慧教育、智慧健康、智慧人社、智慧旅游等重点领域服务新模式，提供普惠包容、多元个性、开放公平的智慧化民生服务。积极推动“</w:t>
      </w:r>
      <w:r>
        <w:rPr>
          <w:rFonts w:hint="eastAsia" w:cs="Times New Roman"/>
          <w:b w:val="0"/>
          <w:bCs w:val="0"/>
          <w:sz w:val="32"/>
          <w:szCs w:val="32"/>
          <w:u w:val="none"/>
        </w:rPr>
        <w:t>5G</w:t>
      </w:r>
      <w:r>
        <w:rPr>
          <w:rFonts w:hint="eastAsia" w:ascii="仿宋_GB2312" w:cs="Times New Roman"/>
          <w:b w:val="0"/>
          <w:bCs w:val="0"/>
          <w:sz w:val="32"/>
          <w:szCs w:val="32"/>
          <w:u w:val="none"/>
        </w:rPr>
        <w:t>+智慧医疗”示范、智慧课堂试点示范建设，拓展新一代信息技术应用场景。</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86" w:name="_Toc17902"/>
      <w:r>
        <w:rPr>
          <w:rFonts w:hint="eastAsia"/>
          <w:b w:val="0"/>
          <w:bCs w:val="0"/>
          <w:sz w:val="32"/>
          <w:szCs w:val="32"/>
          <w:u w:val="none"/>
        </w:rPr>
        <w:t>打造粤港澳数字</w:t>
      </w:r>
      <w:r>
        <w:rPr>
          <w:rFonts w:hint="eastAsia"/>
          <w:b w:val="0"/>
          <w:bCs w:val="0"/>
          <w:sz w:val="32"/>
          <w:szCs w:val="32"/>
          <w:u w:val="none"/>
          <w:lang w:val="en-US"/>
        </w:rPr>
        <w:t>合作</w:t>
      </w:r>
      <w:r>
        <w:rPr>
          <w:rFonts w:hint="eastAsia"/>
          <w:b w:val="0"/>
          <w:bCs w:val="0"/>
          <w:sz w:val="32"/>
          <w:szCs w:val="32"/>
          <w:u w:val="none"/>
        </w:rPr>
        <w:t>新支点</w:t>
      </w:r>
      <w:bookmarkEnd w:id="286"/>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cs="Times New Roman"/>
          <w:b w:val="0"/>
          <w:bCs w:val="0"/>
          <w:sz w:val="32"/>
          <w:szCs w:val="32"/>
          <w:u w:val="none"/>
        </w:rPr>
      </w:pPr>
      <w:r>
        <w:rPr>
          <w:rFonts w:hint="eastAsia" w:ascii="仿宋_GB2312" w:cs="Times New Roman"/>
          <w:b w:val="0"/>
          <w:bCs w:val="0"/>
          <w:sz w:val="32"/>
          <w:szCs w:val="32"/>
          <w:u w:val="none"/>
        </w:rPr>
        <w:t>推动与香港、澳门信息基础设施互联互通，探索建设国际技术转移交易平台。建设跨境远程医疗平台，推动珠港澳重点医疗机构开展远程医疗合作。加快智慧旅游综合平台建设，推动珠港澳旅游服务一体化。推动智慧口岸建设，提升国际贸易“单一窗口”在口岸物流、金融服务、跨境电商、边境贸易等领域的服务能效。完善一站式跨境金融综合服务平台，提供全链条跨境金融服务。</w:t>
      </w:r>
    </w:p>
    <w:p>
      <w:pPr>
        <w:ind w:firstLine="600"/>
        <w:rPr>
          <w:rFonts w:ascii="仿宋_GB2312" w:cs="Times New Roman"/>
          <w:b w:val="0"/>
          <w:bCs w:val="0"/>
          <w:sz w:val="32"/>
          <w:szCs w:val="32"/>
          <w:u w:val="none"/>
        </w:rPr>
        <w:sectPr>
          <w:headerReference r:id="rId13" w:type="default"/>
          <w:pgSz w:w="11906" w:h="16838"/>
          <w:pgMar w:top="2041" w:right="1531" w:bottom="2041" w:left="1531" w:header="851" w:footer="1531" w:gutter="0"/>
          <w:paperSrc/>
          <w:pgNumType w:fmt="decimal"/>
          <w:cols w:space="720" w:num="1"/>
          <w:rtlGutter w:val="0"/>
          <w:docGrid w:type="linesAndChars" w:linePitch="607" w:charSpace="0"/>
        </w:sectPr>
      </w:pP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79" w:lineRule="exact"/>
        <w:textAlignment w:val="auto"/>
        <w:rPr>
          <w:rFonts w:hint="eastAsia" w:ascii="方正小标宋简体" w:hAnsi="方正小标宋简体" w:eastAsia="方正小标宋简体" w:cs="方正小标宋简体"/>
          <w:b w:val="0"/>
          <w:bCs w:val="0"/>
          <w:sz w:val="44"/>
          <w:szCs w:val="44"/>
          <w:u w:val="none"/>
        </w:rPr>
      </w:pPr>
      <w:bookmarkStart w:id="287" w:name="_Toc4010"/>
      <w:r>
        <w:rPr>
          <w:rFonts w:hint="eastAsia" w:ascii="方正小标宋简体" w:hAnsi="方正小标宋简体" w:eastAsia="方正小标宋简体" w:cs="方正小标宋简体"/>
          <w:b w:val="0"/>
          <w:bCs w:val="0"/>
          <w:sz w:val="44"/>
          <w:szCs w:val="44"/>
          <w:u w:val="none"/>
        </w:rPr>
        <w:t>土地节约集约利用</w:t>
      </w:r>
      <w:bookmarkEnd w:id="287"/>
    </w:p>
    <w:p>
      <w:pPr>
        <w:pStyle w:val="81"/>
        <w:keepNext w:val="0"/>
        <w:keepLines w:val="0"/>
        <w:pageBreakBefore w:val="0"/>
        <w:widowControl w:val="0"/>
        <w:numPr>
          <w:ilvl w:val="0"/>
          <w:numId w:val="14"/>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288" w:name="_Toc4332"/>
      <w:r>
        <w:rPr>
          <w:rFonts w:hint="eastAsia"/>
          <w:b w:val="0"/>
          <w:bCs w:val="0"/>
          <w:sz w:val="32"/>
          <w:szCs w:val="32"/>
          <w:u w:val="none"/>
        </w:rPr>
        <w:t>耕地资源保护利用</w:t>
      </w:r>
      <w:bookmarkEnd w:id="288"/>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89" w:name="_Toc18170"/>
      <w:r>
        <w:rPr>
          <w:rFonts w:hint="eastAsia"/>
          <w:b w:val="0"/>
          <w:bCs w:val="0"/>
          <w:sz w:val="32"/>
          <w:szCs w:val="32"/>
          <w:u w:val="none"/>
        </w:rPr>
        <w:t>推动</w:t>
      </w:r>
      <w:r>
        <w:rPr>
          <w:rFonts w:hint="eastAsia"/>
          <w:b w:val="0"/>
          <w:bCs w:val="0"/>
          <w:sz w:val="32"/>
          <w:szCs w:val="32"/>
          <w:u w:val="none"/>
          <w:lang w:val="en-US"/>
        </w:rPr>
        <w:t>耕地</w:t>
      </w:r>
      <w:r>
        <w:rPr>
          <w:rFonts w:hint="eastAsia"/>
          <w:b w:val="0"/>
          <w:bCs w:val="0"/>
          <w:sz w:val="32"/>
          <w:szCs w:val="32"/>
          <w:u w:val="none"/>
        </w:rPr>
        <w:t>集中连片保护</w:t>
      </w:r>
      <w:bookmarkEnd w:id="289"/>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hAnsi="仿宋" w:cs="宋体"/>
          <w:b w:val="0"/>
          <w:bCs w:val="0"/>
          <w:sz w:val="32"/>
          <w:szCs w:val="32"/>
          <w:u w:val="none"/>
        </w:rPr>
      </w:pPr>
      <w:r>
        <w:rPr>
          <w:rFonts w:hint="eastAsia" w:ascii="仿宋_GB2312" w:hAnsi="仿宋" w:cs="宋体"/>
          <w:b w:val="0"/>
          <w:bCs w:val="0"/>
          <w:sz w:val="32"/>
          <w:szCs w:val="32"/>
          <w:u w:val="none"/>
        </w:rPr>
        <w:t>编制耕地和永久基本农田保护利用规划，引导耕地整合治理，优化耕地和永久基本农田布局，开展珠海市耕地集聚区建设。</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hAnsi="仿宋" w:cs="宋体"/>
          <w:b w:val="0"/>
          <w:bCs w:val="0"/>
          <w:sz w:val="32"/>
          <w:szCs w:val="32"/>
          <w:u w:val="none"/>
        </w:rPr>
      </w:pPr>
      <w:r>
        <w:rPr>
          <w:rFonts w:hint="eastAsia" w:ascii="仿宋_GB2312" w:hAnsi="仿宋" w:cs="宋体"/>
          <w:b w:val="0"/>
          <w:bCs w:val="0"/>
          <w:sz w:val="32"/>
          <w:szCs w:val="32"/>
          <w:u w:val="none"/>
        </w:rPr>
        <w:t>按照相对连片、质量优先、易于恢复耕作的原则，结合耕地后备资源潜力和耕地恢复潜力调查评价成果，重点在莲洲镇、平沙镇等区域，合理划定耕地整备区，开展全域土地综合整治补充、恢复耕地。</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b w:val="0"/>
          <w:bCs w:val="0"/>
          <w:sz w:val="32"/>
          <w:szCs w:val="32"/>
          <w:u w:val="none"/>
        </w:rPr>
      </w:pPr>
      <w:r>
        <w:rPr>
          <w:rFonts w:hint="eastAsia" w:ascii="仿宋_GB2312" w:hAnsi="仿宋" w:cs="宋体"/>
          <w:b w:val="0"/>
          <w:bCs w:val="0"/>
          <w:sz w:val="32"/>
          <w:szCs w:val="32"/>
          <w:u w:val="none"/>
        </w:rPr>
        <w:t>优先将与永久基本农田集中连片的现状优质耕地，开发补充、整治恢复以及高标准农田建设形成的优质耕地划入永久基本农田储备区。</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90" w:name="_Toc14271"/>
      <w:r>
        <w:rPr>
          <w:rFonts w:hint="eastAsia"/>
          <w:b w:val="0"/>
          <w:bCs w:val="0"/>
          <w:sz w:val="32"/>
          <w:szCs w:val="32"/>
          <w:u w:val="none"/>
        </w:rPr>
        <w:t>严格耕地用途管制</w:t>
      </w:r>
      <w:bookmarkEnd w:id="290"/>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宋体"/>
          <w:b w:val="0"/>
          <w:bCs w:val="0"/>
          <w:sz w:val="32"/>
          <w:szCs w:val="32"/>
          <w:u w:val="none"/>
        </w:rPr>
      </w:pPr>
      <w:r>
        <w:rPr>
          <w:rFonts w:hint="eastAsia" w:ascii="仿宋_GB2312" w:hAnsi="仿宋" w:cs="宋体"/>
          <w:b w:val="0"/>
          <w:bCs w:val="0"/>
          <w:sz w:val="32"/>
          <w:szCs w:val="32"/>
          <w:u w:val="none"/>
        </w:rPr>
        <w:t>严格落实永久基本农田特殊保护制度。已划定的永久基本农田，任何单位和个人不得擅自占用或者改变用途。经依法批准的国家能源、交通、水利、军事设施等重大建设项目选址确实难以避让永久基本农田的，依法办理用地手续，严格落实占用补划。永久基本农田不得转为林地、草地、园地等其他农用地及农业设施建设用地。</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宋体"/>
          <w:b w:val="0"/>
          <w:bCs w:val="0"/>
          <w:sz w:val="32"/>
          <w:szCs w:val="32"/>
          <w:u w:val="none"/>
        </w:rPr>
      </w:pPr>
      <w:r>
        <w:rPr>
          <w:rFonts w:hint="eastAsia" w:ascii="仿宋_GB2312" w:hAnsi="仿宋" w:cs="宋体"/>
          <w:b w:val="0"/>
          <w:bCs w:val="0"/>
          <w:sz w:val="32"/>
          <w:szCs w:val="32"/>
          <w:u w:val="none"/>
        </w:rPr>
        <w:t>严格落实耕地占补平衡制度。非农业建设占用耕地的，必须严格落实耕地占补平衡。补充耕地应数量、质量相当、产能不降，做到先补后占和占一补一、占优补优、占水田补水田。</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宋体"/>
          <w:b w:val="0"/>
          <w:bCs w:val="0"/>
          <w:sz w:val="32"/>
          <w:szCs w:val="32"/>
          <w:u w:val="none"/>
        </w:rPr>
      </w:pPr>
      <w:r>
        <w:rPr>
          <w:rFonts w:hint="eastAsia" w:ascii="仿宋_GB2312" w:hAnsi="仿宋" w:cs="宋体"/>
          <w:b w:val="0"/>
          <w:bCs w:val="0"/>
          <w:sz w:val="32"/>
          <w:szCs w:val="32"/>
          <w:u w:val="none"/>
        </w:rPr>
        <w:t>严格落实年度进出平衡制度。控制耕地转为林地、草地、园地等其他农用地。除国家安排的生态退耕、自然灾害损毁难以复耕、河湖水面自然扩大造成耕地永久淹没外，耕地转为林地、</w:t>
      </w:r>
      <w:r>
        <w:rPr>
          <w:rFonts w:hint="eastAsia"/>
          <w:b w:val="0"/>
          <w:bCs w:val="0"/>
          <w:sz w:val="32"/>
          <w:szCs w:val="32"/>
          <w:u w:val="none"/>
        </w:rPr>
        <w:t>草地</w:t>
      </w:r>
      <w:r>
        <w:rPr>
          <w:rFonts w:hint="eastAsia" w:ascii="仿宋_GB2312" w:hAnsi="仿宋" w:cs="宋体"/>
          <w:b w:val="0"/>
          <w:bCs w:val="0"/>
          <w:sz w:val="32"/>
          <w:szCs w:val="32"/>
          <w:u w:val="none"/>
        </w:rPr>
        <w:t>、园地等其他农用地及农业设施建设用地的，应当通过统筹林地、草地、园地等其他农用地及农业设施建设用地整治为耕地，确保同等数量、质量的可以长期稳定利用耕地总量不减少。</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91" w:name="_Toc11088"/>
      <w:r>
        <w:rPr>
          <w:rFonts w:hint="eastAsia"/>
          <w:b w:val="0"/>
          <w:bCs w:val="0"/>
          <w:sz w:val="32"/>
          <w:szCs w:val="32"/>
          <w:u w:val="none"/>
        </w:rPr>
        <w:t>强化耕地种植</w:t>
      </w:r>
      <w:r>
        <w:rPr>
          <w:rFonts w:hint="eastAsia"/>
          <w:b w:val="0"/>
          <w:bCs w:val="0"/>
          <w:sz w:val="32"/>
          <w:szCs w:val="32"/>
          <w:u w:val="none"/>
          <w:lang w:val="en-US"/>
        </w:rPr>
        <w:t>管控</w:t>
      </w:r>
      <w:bookmarkEnd w:id="291"/>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宋体"/>
          <w:b w:val="0"/>
          <w:bCs w:val="0"/>
          <w:sz w:val="32"/>
          <w:szCs w:val="32"/>
          <w:u w:val="none"/>
        </w:rPr>
      </w:pPr>
      <w:r>
        <w:rPr>
          <w:rFonts w:hint="eastAsia" w:ascii="仿宋_GB2312" w:hAnsi="仿宋" w:cs="宋体"/>
          <w:b w:val="0"/>
          <w:bCs w:val="0"/>
          <w:sz w:val="32"/>
          <w:szCs w:val="32"/>
          <w:u w:val="none"/>
        </w:rPr>
        <w:t>严格落实耕地利用优先序。耕地主要用于粮食和棉、油、糖、蔬菜等农产品及饲草饲料生产；永久基本农田重点用于粮食生产，现状种植棉、油、糖、蔬菜等非粮食作物的，可以维持不变，也可以结合国家和地方种粮补贴有关政策引导向种植粮食作物调整。</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宋体"/>
          <w:b w:val="0"/>
          <w:bCs w:val="0"/>
          <w:sz w:val="32"/>
          <w:szCs w:val="32"/>
          <w:u w:val="none"/>
        </w:rPr>
      </w:pPr>
      <w:r>
        <w:rPr>
          <w:rFonts w:hint="eastAsia" w:ascii="仿宋_GB2312" w:hAnsi="仿宋" w:cs="宋体"/>
          <w:b w:val="0"/>
          <w:bCs w:val="0"/>
          <w:sz w:val="32"/>
          <w:szCs w:val="32"/>
          <w:u w:val="none"/>
        </w:rPr>
        <w:t>落实藏粮于地、藏粮于技战略。确保农田就是农田，而且必须是良田。综合运用卫星遥感等现代信息技术，加强对耕地保护及种粮情况进行动态监测评价，及时发现“非粮化”问题并</w:t>
      </w:r>
      <w:r>
        <w:rPr>
          <w:rFonts w:hint="eastAsia"/>
          <w:b w:val="0"/>
          <w:bCs w:val="0"/>
          <w:sz w:val="32"/>
          <w:szCs w:val="32"/>
          <w:u w:val="none"/>
        </w:rPr>
        <w:t>督促</w:t>
      </w:r>
      <w:r>
        <w:rPr>
          <w:rFonts w:hint="eastAsia" w:ascii="仿宋_GB2312" w:hAnsi="仿宋" w:cs="宋体"/>
          <w:b w:val="0"/>
          <w:bCs w:val="0"/>
          <w:sz w:val="32"/>
          <w:szCs w:val="32"/>
          <w:u w:val="none"/>
        </w:rPr>
        <w:t>整改，禁止任何单位和个人闲置、荒芜耕地。加快推进金湾区、斗门区粮食生产功能区建设，打造供应粤港澳大湾区的优质农产品生产基地。</w:t>
      </w:r>
      <w:r>
        <w:rPr>
          <w:rFonts w:ascii="仿宋_GB2312" w:hAnsi="仿宋" w:cs="宋体"/>
          <w:b w:val="0"/>
          <w:bCs w:val="0"/>
          <w:sz w:val="32"/>
          <w:szCs w:val="32"/>
          <w:u w:val="none"/>
        </w:rPr>
        <w:t xml:space="preserve"> </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宋体"/>
          <w:b w:val="0"/>
          <w:bCs w:val="0"/>
          <w:sz w:val="32"/>
          <w:szCs w:val="32"/>
          <w:u w:val="none"/>
        </w:rPr>
      </w:pPr>
      <w:r>
        <w:rPr>
          <w:rFonts w:hint="eastAsia" w:ascii="仿宋_GB2312" w:hAnsi="仿宋" w:cs="宋体"/>
          <w:b w:val="0"/>
          <w:bCs w:val="0"/>
          <w:sz w:val="32"/>
          <w:szCs w:val="32"/>
          <w:u w:val="none"/>
        </w:rPr>
        <w:t>建立“农业空间布局专项规划+村庄详细规划”的农业空间规划编制体系。通过农业空间布局专项规划，引导农业结构调整，明确设施农业用地和田间道路等农业配套设施布局，并纳入村庄详细规划。</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292" w:name="_Toc17133"/>
      <w:r>
        <w:rPr>
          <w:rFonts w:hint="eastAsia"/>
          <w:b w:val="0"/>
          <w:bCs w:val="0"/>
          <w:sz w:val="32"/>
          <w:szCs w:val="32"/>
          <w:u w:val="none"/>
        </w:rPr>
        <w:t>提升耕地</w:t>
      </w:r>
      <w:r>
        <w:rPr>
          <w:rFonts w:hint="eastAsia"/>
          <w:b w:val="0"/>
          <w:bCs w:val="0"/>
          <w:sz w:val="32"/>
          <w:szCs w:val="32"/>
          <w:u w:val="none"/>
          <w:lang w:val="en-US"/>
        </w:rPr>
        <w:t>质量</w:t>
      </w:r>
      <w:bookmarkEnd w:id="292"/>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宋体"/>
          <w:b w:val="0"/>
          <w:bCs w:val="0"/>
          <w:sz w:val="32"/>
          <w:szCs w:val="32"/>
          <w:u w:val="none"/>
        </w:rPr>
      </w:pPr>
      <w:r>
        <w:rPr>
          <w:rFonts w:hint="eastAsia" w:ascii="仿宋_GB2312" w:hAnsi="仿宋" w:cs="宋体"/>
          <w:b w:val="0"/>
          <w:bCs w:val="0"/>
          <w:sz w:val="32"/>
          <w:szCs w:val="32"/>
          <w:u w:val="none"/>
        </w:rPr>
        <w:t>推进高标准农田建设。以永久基本农田、粮食生产功能区、粮食产业园为重点区域，集中力量建设集中连片、</w:t>
      </w:r>
      <w:r>
        <w:rPr>
          <w:rFonts w:hint="eastAsia"/>
          <w:b w:val="0"/>
          <w:bCs w:val="0"/>
          <w:sz w:val="32"/>
          <w:szCs w:val="32"/>
          <w:u w:val="none"/>
        </w:rPr>
        <w:t>旱涝保收</w:t>
      </w:r>
      <w:r>
        <w:rPr>
          <w:rFonts w:hint="eastAsia" w:ascii="仿宋_GB2312" w:hAnsi="仿宋" w:cs="宋体"/>
          <w:b w:val="0"/>
          <w:bCs w:val="0"/>
          <w:sz w:val="32"/>
          <w:szCs w:val="32"/>
          <w:u w:val="none"/>
        </w:rPr>
        <w:t>、节水高效、稳产高产、生态友好的高标准农田。</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宋体"/>
          <w:b w:val="0"/>
          <w:bCs w:val="0"/>
          <w:sz w:val="32"/>
          <w:szCs w:val="32"/>
          <w:u w:val="none"/>
        </w:rPr>
      </w:pPr>
      <w:r>
        <w:rPr>
          <w:rFonts w:hint="eastAsia" w:ascii="仿宋_GB2312" w:hAnsi="仿宋" w:cs="宋体"/>
          <w:b w:val="0"/>
          <w:bCs w:val="0"/>
          <w:sz w:val="32"/>
          <w:szCs w:val="32"/>
          <w:u w:val="none"/>
        </w:rPr>
        <w:t>加强退化耕地治理。强化农田生态系统修复，</w:t>
      </w:r>
      <w:r>
        <w:rPr>
          <w:rFonts w:hint="eastAsia"/>
          <w:b w:val="0"/>
          <w:bCs w:val="0"/>
          <w:sz w:val="32"/>
          <w:szCs w:val="32"/>
          <w:u w:val="none"/>
        </w:rPr>
        <w:t>控制</w:t>
      </w:r>
      <w:r>
        <w:rPr>
          <w:rFonts w:hint="eastAsia" w:ascii="仿宋_GB2312" w:hAnsi="仿宋" w:cs="宋体"/>
          <w:b w:val="0"/>
          <w:bCs w:val="0"/>
          <w:sz w:val="32"/>
          <w:szCs w:val="32"/>
          <w:u w:val="none"/>
        </w:rPr>
        <w:t>农业面源污染，加大退化、毁损农田生态修复力度，对劣质、中低等别及退化耕地开展提质改造。按照“应剥尽剥，谁占用，谁剥离”的原则，推进非农建设占用耕地耕作层剥离利用工作。</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293" w:name="_Toc6489"/>
      <w:r>
        <w:rPr>
          <w:rFonts w:hint="eastAsia"/>
          <w:b w:val="0"/>
          <w:bCs w:val="0"/>
          <w:sz w:val="32"/>
          <w:szCs w:val="32"/>
          <w:u w:val="none"/>
        </w:rPr>
        <w:t>打造都市田园</w:t>
      </w:r>
      <w:bookmarkEnd w:id="293"/>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宋体"/>
          <w:b w:val="0"/>
          <w:bCs w:val="0"/>
          <w:sz w:val="32"/>
          <w:szCs w:val="32"/>
          <w:u w:val="none"/>
        </w:rPr>
      </w:pPr>
      <w:r>
        <w:rPr>
          <w:rFonts w:hint="eastAsia" w:ascii="仿宋_GB2312" w:hAnsi="仿宋" w:cs="宋体"/>
          <w:b w:val="0"/>
          <w:bCs w:val="0"/>
          <w:sz w:val="32"/>
          <w:szCs w:val="32"/>
          <w:u w:val="none"/>
        </w:rPr>
        <w:t>提升耕地生态功能与价值，将集中连片耕地作为区域生态廊道、绿带、绿心的重要组成部分，强化耕地在调节气候、维持生物多样性、涵养水源等方面的生态功能。利用城镇开发边界内“开天窗”永久基本农田打造都市田园，结合城市多样化需求，建设集农业生产、科普教育、观光休闲于一体的新型农业载体，发展生态体验型和文化创意型农业。</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294" w:name="_Toc8639"/>
      <w:r>
        <w:rPr>
          <w:rFonts w:hint="eastAsia"/>
          <w:b w:val="0"/>
          <w:bCs w:val="0"/>
          <w:sz w:val="32"/>
          <w:szCs w:val="32"/>
          <w:u w:val="none"/>
        </w:rPr>
        <w:t>拓展补充耕地途径</w:t>
      </w:r>
      <w:bookmarkEnd w:id="294"/>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宋体"/>
          <w:b w:val="0"/>
          <w:bCs w:val="0"/>
          <w:sz w:val="32"/>
          <w:szCs w:val="32"/>
          <w:u w:val="none"/>
        </w:rPr>
      </w:pPr>
      <w:r>
        <w:rPr>
          <w:rFonts w:hint="eastAsia" w:ascii="仿宋_GB2312" w:hAnsi="仿宋" w:cs="宋体"/>
          <w:b w:val="0"/>
          <w:bCs w:val="0"/>
          <w:sz w:val="32"/>
          <w:szCs w:val="32"/>
          <w:u w:val="none"/>
        </w:rPr>
        <w:t>根据耕地保护责任缺口、耕地进出平衡需求等，拓展补充耕地途径，推进宜耕后备土地开发、土地复垦及耕地恢复等方式补充耕地，促进耕地结构优化、质量提升，确保落实耕地占补平衡和进出平衡。</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295" w:name="_Toc31550"/>
      <w:r>
        <w:rPr>
          <w:rFonts w:hint="eastAsia"/>
          <w:b w:val="0"/>
          <w:bCs w:val="0"/>
          <w:sz w:val="32"/>
          <w:szCs w:val="32"/>
          <w:u w:val="none"/>
        </w:rPr>
        <w:t>完善耕地保护补偿</w:t>
      </w:r>
      <w:r>
        <w:rPr>
          <w:rFonts w:hint="eastAsia"/>
          <w:b w:val="0"/>
          <w:bCs w:val="0"/>
          <w:sz w:val="32"/>
          <w:szCs w:val="32"/>
          <w:u w:val="none"/>
          <w:lang w:val="en-US"/>
        </w:rPr>
        <w:t>机制</w:t>
      </w:r>
      <w:bookmarkEnd w:id="295"/>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按照“谁保护、谁受益”的原则，逐步提高永久基本农田补偿标准，缩小种粮与水产养殖收益差，切实提高农村集体经济组织和农户保护耕地的积极性。探索建立耕地恢复生态补偿、占补平衡储备指标有偿转让等机制，引导涉农资金向保护任务重的地区倾斜。</w:t>
      </w:r>
    </w:p>
    <w:p>
      <w:pPr>
        <w:pStyle w:val="81"/>
        <w:keepNext w:val="0"/>
        <w:keepLines w:val="0"/>
        <w:pageBreakBefore w:val="0"/>
        <w:widowControl w:val="0"/>
        <w:numPr>
          <w:ilvl w:val="0"/>
          <w:numId w:val="14"/>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296" w:name="_Toc5529"/>
      <w:r>
        <w:rPr>
          <w:rFonts w:hint="eastAsia"/>
          <w:b w:val="0"/>
          <w:bCs w:val="0"/>
          <w:sz w:val="32"/>
          <w:szCs w:val="32"/>
          <w:u w:val="none"/>
        </w:rPr>
        <w:t>森林资源保护利用</w:t>
      </w:r>
      <w:bookmarkEnd w:id="296"/>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297" w:name="_Toc5428"/>
      <w:r>
        <w:rPr>
          <w:rFonts w:hint="eastAsia"/>
          <w:b w:val="0"/>
          <w:bCs w:val="0"/>
          <w:sz w:val="32"/>
          <w:szCs w:val="32"/>
          <w:u w:val="none"/>
        </w:rPr>
        <w:t>打造国家</w:t>
      </w:r>
      <w:r>
        <w:rPr>
          <w:rFonts w:hint="eastAsia"/>
          <w:b w:val="0"/>
          <w:bCs w:val="0"/>
          <w:sz w:val="32"/>
          <w:szCs w:val="32"/>
          <w:u w:val="none"/>
          <w:lang w:val="en-US"/>
        </w:rPr>
        <w:t>森林</w:t>
      </w:r>
      <w:r>
        <w:rPr>
          <w:rFonts w:hint="eastAsia"/>
          <w:b w:val="0"/>
          <w:bCs w:val="0"/>
          <w:sz w:val="32"/>
          <w:szCs w:val="32"/>
          <w:u w:val="none"/>
        </w:rPr>
        <w:t>城市样板</w:t>
      </w:r>
      <w:bookmarkEnd w:id="297"/>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巩固国家森林城市创建成果，构建珠海森林城市发展绿核，完善沿海森林城市防护带，优化森林城市发展格局，大力推进植树造林增绿，加强林业生态建设，精准提升森林质量，增强固碳中和功能，保护生物多样性，打造人与自然和谐共生的绿美珠海样板。</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298" w:name="_Toc8402"/>
      <w:r>
        <w:rPr>
          <w:rFonts w:hint="eastAsia"/>
          <w:b w:val="0"/>
          <w:bCs w:val="0"/>
          <w:sz w:val="32"/>
          <w:szCs w:val="32"/>
          <w:u w:val="none"/>
        </w:rPr>
        <w:t>严格保护森林资源</w:t>
      </w:r>
      <w:bookmarkEnd w:id="298"/>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严格林地用途管制。划定林业生态保护线，加强公益林建设和天然林保护修复，优化布局，确定天然林保护重点区域，从紧从严管理林地资源。建设项目占用林地，应当符合国土空间规划、林地保护利用规划和节约集约利用原则，不得超过本行政区域的占用林地总量控制指标，对已经开垦种植、破坏的林地限期逐步还林。</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规范林地监管。统一开展森林、草原、湿地调查监测工作，充分利用遥感影像判读林地、草地、湿地变化图斑，</w:t>
      </w:r>
      <w:r>
        <w:rPr>
          <w:rFonts w:hint="eastAsia"/>
          <w:b w:val="0"/>
          <w:bCs w:val="0"/>
          <w:sz w:val="32"/>
          <w:szCs w:val="32"/>
          <w:u w:val="none"/>
        </w:rPr>
        <w:t>形成</w:t>
      </w:r>
      <w:r>
        <w:rPr>
          <w:rFonts w:hint="eastAsia" w:ascii="仿宋_GB2312"/>
          <w:b w:val="0"/>
          <w:bCs w:val="0"/>
          <w:sz w:val="32"/>
          <w:szCs w:val="32"/>
          <w:u w:val="none"/>
        </w:rPr>
        <w:t>林草湿资源遥感判读数据库，通过查阅档案资料、实地验证等方法，核实林地资源变化情况。对违法使用林地和采伐林木的，要建立案件台账动态管理和查处销号制度，避免森林资源流失。</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加强森林资源保护。强化林木采伐管理，严格</w:t>
      </w:r>
      <w:r>
        <w:rPr>
          <w:rFonts w:hint="eastAsia"/>
          <w:b w:val="0"/>
          <w:bCs w:val="0"/>
          <w:sz w:val="32"/>
          <w:szCs w:val="32"/>
          <w:u w:val="none"/>
        </w:rPr>
        <w:t>执行</w:t>
      </w:r>
      <w:r>
        <w:rPr>
          <w:rFonts w:hint="eastAsia" w:ascii="仿宋_GB2312"/>
          <w:b w:val="0"/>
          <w:bCs w:val="0"/>
          <w:sz w:val="32"/>
          <w:szCs w:val="32"/>
          <w:u w:val="none"/>
        </w:rPr>
        <w:t>限额采伐和凭证采伐制度，全面停止天然林商业性采伐。区镇人民政府应组建护林员队伍，从紧从严管理林地资源。</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ascii="仿宋_GB2312" w:cs="Times New Roman"/>
          <w:b w:val="0"/>
          <w:bCs w:val="0"/>
          <w:sz w:val="32"/>
          <w:szCs w:val="32"/>
          <w:u w:val="none"/>
        </w:rPr>
        <w:t>加强</w:t>
      </w:r>
      <w:r>
        <w:rPr>
          <w:rFonts w:hint="eastAsia" w:ascii="仿宋_GB2312" w:cs="Times New Roman"/>
          <w:b w:val="0"/>
          <w:bCs w:val="0"/>
          <w:sz w:val="32"/>
          <w:szCs w:val="32"/>
          <w:u w:val="none"/>
        </w:rPr>
        <w:t>林业有害生物防治。推进外来入侵物种普查工作，摸清外来入侵物种发生种类、面积、分布及危害程度等情况，建立外来物种数据库；重点开展松材</w:t>
      </w:r>
      <w:r>
        <w:rPr>
          <w:rFonts w:hint="eastAsia" w:ascii="仿宋" w:hAnsi="仿宋" w:cs="宋体"/>
          <w:b w:val="0"/>
          <w:bCs w:val="0"/>
          <w:sz w:val="32"/>
          <w:szCs w:val="32"/>
          <w:u w:val="none"/>
          <w:lang w:val="zh-CN"/>
        </w:rPr>
        <w:t>线虫、薇甘菊、红火蚁、松褐天牛等典型外来生物治理。</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299" w:name="_Toc15193"/>
      <w:r>
        <w:rPr>
          <w:rFonts w:hint="eastAsia"/>
          <w:b w:val="0"/>
          <w:bCs w:val="0"/>
          <w:sz w:val="32"/>
          <w:szCs w:val="32"/>
          <w:u w:val="none"/>
        </w:rPr>
        <w:t>积极补充森林资源和精准提升森林质量</w:t>
      </w:r>
      <w:bookmarkEnd w:id="299"/>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cs="Times New Roman"/>
          <w:b w:val="0"/>
          <w:bCs w:val="0"/>
          <w:sz w:val="32"/>
          <w:szCs w:val="32"/>
          <w:u w:val="none"/>
        </w:rPr>
      </w:pPr>
      <w:r>
        <w:rPr>
          <w:rFonts w:hint="eastAsia" w:ascii="仿宋_GB2312" w:cs="Times New Roman"/>
          <w:b w:val="0"/>
          <w:bCs w:val="0"/>
          <w:sz w:val="32"/>
          <w:szCs w:val="32"/>
          <w:u w:val="none"/>
        </w:rPr>
        <w:t>加强造林绿化，多途径扩绿增绿。拓展造林绿化空间，对宜林荒山、荒地荒滩、荒废和受损山体、疏林地、未成林地、无立木林地和宜林地等进行梳理，深度挖掘造林绿化潜力。大力实施造林生态工程，重点在一级水源保护区、生态保护红线、</w:t>
      </w:r>
      <w:r>
        <w:rPr>
          <w:rFonts w:hint="eastAsia"/>
          <w:b w:val="0"/>
          <w:bCs w:val="0"/>
          <w:sz w:val="32"/>
          <w:szCs w:val="32"/>
          <w:u w:val="none"/>
        </w:rPr>
        <w:t>自然</w:t>
      </w:r>
      <w:r>
        <w:rPr>
          <w:rFonts w:hint="eastAsia" w:ascii="仿宋_GB2312" w:cs="Times New Roman"/>
          <w:b w:val="0"/>
          <w:bCs w:val="0"/>
          <w:sz w:val="32"/>
          <w:szCs w:val="32"/>
          <w:u w:val="none"/>
        </w:rPr>
        <w:t>保护地及郊野公园等重要生态功能区实施见缝造林。稳步实施现有林地的造林更新及抚育，因地制宜引导提升城区内各类绿地郁闭度，在补充林地上造林抚育，促进成林。加强防风防浪和适宜海岛生境的目的树种补植，培育海岛特色森林植物。保持森林覆盖率及林地保有量稳定，全面提升公益林和天然林森林质量，巩固国家森林城市创建成果，推进绿美广东生态建设。</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cs="Times New Roman"/>
          <w:b w:val="0"/>
          <w:bCs w:val="0"/>
          <w:sz w:val="32"/>
          <w:szCs w:val="32"/>
          <w:u w:val="none"/>
        </w:rPr>
      </w:pPr>
      <w:r>
        <w:rPr>
          <w:rFonts w:hint="eastAsia" w:ascii="仿宋_GB2312" w:cs="Times New Roman"/>
          <w:b w:val="0"/>
          <w:bCs w:val="0"/>
          <w:sz w:val="32"/>
          <w:szCs w:val="32"/>
          <w:u w:val="none"/>
        </w:rPr>
        <w:t>坚持适地适树原则，推进疏残林、低效林林分林相优化提升，重点改造桉树纯林、相思纯林、马尾松纯林等结构单一的速生型人工低效林，调整和优化树种林种结构，培育以乡土阔叶树种为主体的混交林。实施森林抚育、封山育林等措施，促进林木生长，强化中幼龄林抚育，提高森林质量，集中连片打造功能多样的高质量林分和优美林相，构建稳定健康优质高效的森林生态系统。到</w:t>
      </w:r>
      <w:r>
        <w:rPr>
          <w:rFonts w:hint="eastAsia" w:cs="Times New Roman"/>
          <w:b w:val="0"/>
          <w:bCs w:val="0"/>
          <w:sz w:val="32"/>
          <w:szCs w:val="32"/>
          <w:u w:val="none"/>
        </w:rPr>
        <w:t>2035</w:t>
      </w:r>
      <w:r>
        <w:rPr>
          <w:rFonts w:hint="eastAsia" w:ascii="仿宋_GB2312" w:cs="Times New Roman"/>
          <w:b w:val="0"/>
          <w:bCs w:val="0"/>
          <w:sz w:val="32"/>
          <w:szCs w:val="32"/>
          <w:u w:val="none"/>
        </w:rPr>
        <w:t>年，完成林分优化提升</w:t>
      </w:r>
      <w:r>
        <w:rPr>
          <w:rFonts w:hint="eastAsia" w:cs="Times New Roman"/>
          <w:b w:val="0"/>
          <w:bCs w:val="0"/>
          <w:sz w:val="32"/>
          <w:szCs w:val="32"/>
          <w:u w:val="none"/>
        </w:rPr>
        <w:t>6</w:t>
      </w:r>
      <w:r>
        <w:rPr>
          <w:rFonts w:hint="eastAsia" w:ascii="仿宋_GB2312" w:cs="Times New Roman"/>
          <w:b w:val="0"/>
          <w:bCs w:val="0"/>
          <w:sz w:val="32"/>
          <w:szCs w:val="32"/>
          <w:u w:val="none"/>
        </w:rPr>
        <w:t>.</w:t>
      </w:r>
      <w:r>
        <w:rPr>
          <w:rFonts w:hint="eastAsia" w:cs="Times New Roman"/>
          <w:b w:val="0"/>
          <w:bCs w:val="0"/>
          <w:sz w:val="32"/>
          <w:szCs w:val="32"/>
          <w:u w:val="none"/>
        </w:rPr>
        <w:t>5</w:t>
      </w:r>
      <w:r>
        <w:rPr>
          <w:rFonts w:hint="eastAsia" w:ascii="仿宋_GB2312" w:cs="Times New Roman"/>
          <w:b w:val="0"/>
          <w:bCs w:val="0"/>
          <w:sz w:val="32"/>
          <w:szCs w:val="32"/>
          <w:u w:val="none"/>
        </w:rPr>
        <w:t>万亩，森林抚育提升</w:t>
      </w:r>
      <w:r>
        <w:rPr>
          <w:rFonts w:hint="eastAsia" w:cs="Times New Roman"/>
          <w:b w:val="0"/>
          <w:bCs w:val="0"/>
          <w:sz w:val="32"/>
          <w:szCs w:val="32"/>
          <w:u w:val="none"/>
        </w:rPr>
        <w:t>6</w:t>
      </w:r>
      <w:r>
        <w:rPr>
          <w:rFonts w:hint="eastAsia" w:ascii="仿宋_GB2312" w:cs="Times New Roman"/>
          <w:b w:val="0"/>
          <w:bCs w:val="0"/>
          <w:sz w:val="32"/>
          <w:szCs w:val="32"/>
          <w:u w:val="none"/>
        </w:rPr>
        <w:t>.</w:t>
      </w:r>
      <w:r>
        <w:rPr>
          <w:rFonts w:hint="eastAsia" w:cs="Times New Roman"/>
          <w:b w:val="0"/>
          <w:bCs w:val="0"/>
          <w:sz w:val="32"/>
          <w:szCs w:val="32"/>
          <w:u w:val="none"/>
        </w:rPr>
        <w:t>21</w:t>
      </w:r>
      <w:r>
        <w:rPr>
          <w:rFonts w:hint="eastAsia" w:ascii="仿宋_GB2312" w:cs="Times New Roman"/>
          <w:b w:val="0"/>
          <w:bCs w:val="0"/>
          <w:sz w:val="32"/>
          <w:szCs w:val="32"/>
          <w:u w:val="none"/>
        </w:rPr>
        <w:t>万亩。</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300" w:name="_Toc23950"/>
      <w:r>
        <w:rPr>
          <w:b w:val="0"/>
          <w:bCs w:val="0"/>
          <w:sz w:val="32"/>
          <w:szCs w:val="32"/>
          <w:u w:val="none"/>
        </w:rPr>
        <w:t>推进</w:t>
      </w:r>
      <w:r>
        <w:rPr>
          <w:rFonts w:hint="eastAsia"/>
          <w:b w:val="0"/>
          <w:bCs w:val="0"/>
          <w:sz w:val="32"/>
          <w:szCs w:val="32"/>
          <w:u w:val="none"/>
          <w:lang w:val="en-US"/>
        </w:rPr>
        <w:t>城乡</w:t>
      </w:r>
      <w:r>
        <w:rPr>
          <w:b w:val="0"/>
          <w:bCs w:val="0"/>
          <w:sz w:val="32"/>
          <w:szCs w:val="32"/>
          <w:u w:val="none"/>
        </w:rPr>
        <w:t>绿化美化</w:t>
      </w:r>
      <w:bookmarkEnd w:id="300"/>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按照“绿色惠民、节俭务实，生态优先、协同推进”原则，强化区域生态保护，提升生态效益，推进区域协同、城乡一体建设，开展“森林城市-森林县城-森林城镇-森林乡村”四级创森，多空间尺度统筹生态一体化建设，以绿道、碧道、古驿道、森林步道为纽带，有机串联城市公园、森林公园、湿地公园、郊野公园等生态节点，推动森林绿地向城镇和乡村延伸发展。利用“五边”“四旁”空地，因地制宜推进留白增绿、拆违建绿、见缝插绿，拓展绿化生态空间，逐步缩小城乡间、城市间绿化建设水平的差距，协同高效推进“绿美城乡”提升工作，大力营造“城在林中、路在绿中、房在园中、人在景中”的绿美城乡人居环境。</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301" w:name="_Toc25536"/>
      <w:r>
        <w:rPr>
          <w:rFonts w:hint="eastAsia"/>
          <w:b w:val="0"/>
          <w:bCs w:val="0"/>
          <w:sz w:val="32"/>
          <w:szCs w:val="32"/>
          <w:u w:val="none"/>
        </w:rPr>
        <w:t>加强古树名木保护</w:t>
      </w:r>
      <w:bookmarkEnd w:id="301"/>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建立健全古树名木保护管理制度，推进重要古树名木视频监控和保护工程建设，开展古树名木资源监测调查，加强实时动态管理。强化古树群保护，探索建设具有乡土特色的古树</w:t>
      </w:r>
      <w:r>
        <w:rPr>
          <w:rFonts w:hint="eastAsia"/>
          <w:b w:val="0"/>
          <w:bCs w:val="0"/>
          <w:sz w:val="32"/>
          <w:szCs w:val="32"/>
          <w:u w:val="none"/>
        </w:rPr>
        <w:t>公园</w:t>
      </w:r>
      <w:r>
        <w:rPr>
          <w:rFonts w:hint="eastAsia" w:ascii="仿宋_GB2312"/>
          <w:b w:val="0"/>
          <w:bCs w:val="0"/>
          <w:sz w:val="32"/>
          <w:szCs w:val="32"/>
          <w:u w:val="none"/>
        </w:rPr>
        <w:t>、绿美古树乡村等。全面落实日常管护责任，严格保护古树名木及其自然生境，对濒危古树名木及时抢救复壮。在城乡建设和城市更新中，最大限度避让古树，促进古树与城乡基础设施和谐共存，留住乡愁记忆。</w:t>
      </w:r>
    </w:p>
    <w:p>
      <w:pPr>
        <w:pStyle w:val="81"/>
        <w:keepNext w:val="0"/>
        <w:keepLines w:val="0"/>
        <w:pageBreakBefore w:val="0"/>
        <w:widowControl w:val="0"/>
        <w:numPr>
          <w:ilvl w:val="0"/>
          <w:numId w:val="14"/>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302" w:name="_Toc1066"/>
      <w:r>
        <w:rPr>
          <w:rFonts w:hint="eastAsia"/>
          <w:b w:val="0"/>
          <w:bCs w:val="0"/>
          <w:sz w:val="32"/>
          <w:szCs w:val="32"/>
          <w:u w:val="none"/>
        </w:rPr>
        <w:t>河湖水系与湿地保护利用</w:t>
      </w:r>
      <w:bookmarkEnd w:id="302"/>
      <w:r>
        <w:rPr>
          <w:rFonts w:hint="eastAsia"/>
          <w:b w:val="0"/>
          <w:bCs w:val="0"/>
          <w:sz w:val="32"/>
          <w:szCs w:val="32"/>
          <w:u w:val="none"/>
        </w:rPr>
        <w:tab/>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303" w:name="_Toc138661880"/>
      <w:bookmarkStart w:id="304" w:name="_Toc23962"/>
      <w:r>
        <w:rPr>
          <w:rFonts w:hint="eastAsia"/>
          <w:b w:val="0"/>
          <w:bCs w:val="0"/>
          <w:sz w:val="32"/>
          <w:szCs w:val="32"/>
          <w:u w:val="none"/>
        </w:rPr>
        <w:t>构建</w:t>
      </w:r>
      <w:r>
        <w:rPr>
          <w:rFonts w:hint="eastAsia"/>
          <w:b w:val="0"/>
          <w:bCs w:val="0"/>
          <w:sz w:val="32"/>
          <w:szCs w:val="32"/>
          <w:u w:val="none"/>
          <w:lang w:val="en-US"/>
        </w:rPr>
        <w:t>绿色</w:t>
      </w:r>
      <w:r>
        <w:rPr>
          <w:rFonts w:hint="eastAsia"/>
          <w:b w:val="0"/>
          <w:bCs w:val="0"/>
          <w:sz w:val="32"/>
          <w:szCs w:val="32"/>
          <w:u w:val="none"/>
        </w:rPr>
        <w:t>生态水网</w:t>
      </w:r>
      <w:bookmarkEnd w:id="303"/>
      <w:bookmarkEnd w:id="304"/>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以江海为廊，依托磨刀门水道、坭湾门水道、鸡啼门水道、虎跳门水道、崖门水道等口门水道，以及黄杨河、荷麻溪、螺洲溪、前山河、马骝洲水道、鹤洲水道、天沐河、大门口水道等主要河流水系构建水系主廊道，建设生态堤防，强化其生物迁徙廊道、栖息地及城市通风廊道等功能。以河渠为网，依托凤凰河、幸福河、中珠排洪渠、金凤路排洪渠等水系构建水系次、支廊道，发挥其作为城市景观通廊、片区通风廊道等功能。以水库为源，依托现状竹银水库、凤凰山水库、乾务水库、大镜山水库为核心，联合其他小型水库，构建本地水库群，加强饮用水源型水库的保护和涵养，鼓励非供水水源型水库在保障水质和防洪安全的前提下对公众开放。以河湖水系为纽带，串联周边山林资源、公园绿地、历史文化资源等自然人文要素，塑造通山达海连城的滨水空间，增强岸线的生态性、亲水性和公共性。</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305" w:name="_Toc138661881"/>
      <w:bookmarkStart w:id="306" w:name="_Toc26164"/>
      <w:r>
        <w:rPr>
          <w:rFonts w:hint="eastAsia"/>
          <w:b w:val="0"/>
          <w:bCs w:val="0"/>
          <w:sz w:val="32"/>
          <w:szCs w:val="32"/>
          <w:u w:val="none"/>
        </w:rPr>
        <w:t>水资源保护与开发利用</w:t>
      </w:r>
      <w:bookmarkEnd w:id="305"/>
      <w:bookmarkEnd w:id="306"/>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加强</w:t>
      </w:r>
      <w:r>
        <w:rPr>
          <w:rFonts w:ascii="仿宋_GB2312"/>
          <w:b w:val="0"/>
          <w:bCs w:val="0"/>
          <w:sz w:val="32"/>
          <w:szCs w:val="32"/>
          <w:u w:val="none"/>
        </w:rPr>
        <w:t>水资源保护</w:t>
      </w:r>
      <w:r>
        <w:rPr>
          <w:rFonts w:hint="eastAsia" w:ascii="仿宋_GB2312"/>
          <w:b w:val="0"/>
          <w:bCs w:val="0"/>
          <w:sz w:val="32"/>
          <w:szCs w:val="32"/>
          <w:u w:val="none"/>
        </w:rPr>
        <w:t>。划定磨刀门、黄杨河、虎跳门等河流型饮用水水源一、二级保护区和竹银、月坑水库等水库型饮用水水源一、二级保护区。严禁开采难以更新的深层地下水，加强地下水水源的涵养保护，推动实现地下水合理开发和可持续利用，维护区域生态安全。</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优化水</w:t>
      </w:r>
      <w:r>
        <w:rPr>
          <w:rFonts w:ascii="仿宋_GB2312"/>
          <w:b w:val="0"/>
          <w:bCs w:val="0"/>
          <w:sz w:val="32"/>
          <w:szCs w:val="32"/>
          <w:u w:val="none"/>
        </w:rPr>
        <w:t>资源利用</w:t>
      </w:r>
      <w:r>
        <w:rPr>
          <w:rFonts w:hint="eastAsia" w:ascii="仿宋_GB2312"/>
          <w:b w:val="0"/>
          <w:bCs w:val="0"/>
          <w:sz w:val="32"/>
          <w:szCs w:val="32"/>
          <w:u w:val="none"/>
        </w:rPr>
        <w:t>。调控水资源消耗，确保水资源消耗总量在可承载范围内，至</w:t>
      </w:r>
      <w:r>
        <w:rPr>
          <w:rFonts w:hint="eastAsia"/>
          <w:b w:val="0"/>
          <w:bCs w:val="0"/>
          <w:sz w:val="32"/>
          <w:szCs w:val="32"/>
          <w:u w:val="none"/>
        </w:rPr>
        <w:t>2035</w:t>
      </w:r>
      <w:r>
        <w:rPr>
          <w:rFonts w:hint="eastAsia" w:ascii="仿宋_GB2312"/>
          <w:b w:val="0"/>
          <w:bCs w:val="0"/>
          <w:sz w:val="32"/>
          <w:szCs w:val="32"/>
          <w:u w:val="none"/>
        </w:rPr>
        <w:t>年，年用水总量控制在</w:t>
      </w:r>
      <w:r>
        <w:rPr>
          <w:rFonts w:hint="eastAsia"/>
          <w:b w:val="0"/>
          <w:bCs w:val="0"/>
          <w:sz w:val="32"/>
          <w:szCs w:val="32"/>
          <w:u w:val="none"/>
        </w:rPr>
        <w:t>12</w:t>
      </w:r>
      <w:r>
        <w:rPr>
          <w:rFonts w:hint="eastAsia" w:ascii="仿宋_GB2312"/>
          <w:b w:val="0"/>
          <w:bCs w:val="0"/>
          <w:sz w:val="32"/>
          <w:szCs w:val="32"/>
          <w:u w:val="none"/>
        </w:rPr>
        <w:t>.</w:t>
      </w:r>
      <w:r>
        <w:rPr>
          <w:rFonts w:hint="eastAsia"/>
          <w:b w:val="0"/>
          <w:bCs w:val="0"/>
          <w:sz w:val="32"/>
          <w:szCs w:val="32"/>
          <w:u w:val="none"/>
        </w:rPr>
        <w:t>61</w:t>
      </w:r>
      <w:r>
        <w:rPr>
          <w:rFonts w:hint="eastAsia" w:ascii="仿宋_GB2312"/>
          <w:b w:val="0"/>
          <w:bCs w:val="0"/>
          <w:sz w:val="32"/>
          <w:szCs w:val="32"/>
          <w:u w:val="none"/>
        </w:rPr>
        <w:t>亿立方米以内(具体以省下达任务为准)。新建竹银水库二期、白泥坑水库，扩建乾务水库，增强应对咸潮上溯的能力，至</w:t>
      </w:r>
      <w:r>
        <w:rPr>
          <w:rFonts w:hint="eastAsia"/>
          <w:b w:val="0"/>
          <w:bCs w:val="0"/>
          <w:sz w:val="32"/>
          <w:szCs w:val="32"/>
          <w:u w:val="none"/>
        </w:rPr>
        <w:t>2035</w:t>
      </w:r>
      <w:r>
        <w:rPr>
          <w:rFonts w:hint="eastAsia" w:ascii="仿宋_GB2312"/>
          <w:b w:val="0"/>
          <w:bCs w:val="0"/>
          <w:sz w:val="32"/>
          <w:szCs w:val="32"/>
          <w:u w:val="none"/>
        </w:rPr>
        <w:t>年，澳珠两地水资源应急储备能力满足</w:t>
      </w:r>
      <w:r>
        <w:rPr>
          <w:rFonts w:hint="eastAsia"/>
          <w:b w:val="0"/>
          <w:bCs w:val="0"/>
          <w:sz w:val="32"/>
          <w:szCs w:val="32"/>
          <w:u w:val="none"/>
        </w:rPr>
        <w:t>60</w:t>
      </w:r>
      <w:r>
        <w:rPr>
          <w:rFonts w:hint="eastAsia" w:ascii="仿宋_GB2312"/>
          <w:b w:val="0"/>
          <w:bCs w:val="0"/>
          <w:sz w:val="32"/>
          <w:szCs w:val="32"/>
          <w:u w:val="none"/>
        </w:rPr>
        <w:t>天的需要。推进《珠中江水资源一体化配置工程》建设，保障珠海远期供水需求及安全稳定。</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节约水资源。加强供水管网管控，严控高耗水行业发展，提高工业用水重复利用率，提高农业灌溉用水效率，鼓励渔业咸淡水养殖，推动海水淡化、再生水利用、雨水回用等非常规水资源利用，持续优化用水结构，全面推进水资源高效利用，争创水效领跑城市。</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307" w:name="_Toc32471"/>
      <w:bookmarkStart w:id="308" w:name="_Toc28358"/>
      <w:r>
        <w:rPr>
          <w:rFonts w:hint="eastAsia"/>
          <w:b w:val="0"/>
          <w:bCs w:val="0"/>
          <w:sz w:val="32"/>
          <w:szCs w:val="32"/>
          <w:u w:val="none"/>
        </w:rPr>
        <w:t>加强湿地保护</w:t>
      </w:r>
      <w:bookmarkEnd w:id="307"/>
      <w:bookmarkEnd w:id="308"/>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严禁非法侵占湿地，保持既有湿地空间不减少，通过生态修复提升生境质量，保持好湿地作为生物栖息地、洪涝调蓄、自然灾害防治及污染物降解的重要生态功能。依托现有湿地类型自然保护地、饮用水源保护区、湿地保护小区，构建以自然保护地体系为主体的湿地保护体系，强化红树林、水松林等典型湿地生态系统、珍稀濒危物种集中分布自然湿地的保护。重点保护横琴国家湿地公园、华发水郡湿地公园、高新淇澳红树林湿地公园、横琴滨海湿地公园、大门口水道湿地公园、高栏港南虎湿地公园、金湾金湖湿地公园和香山湖湿地公园。</w:t>
      </w:r>
    </w:p>
    <w:p>
      <w:pPr>
        <w:pStyle w:val="81"/>
        <w:keepNext w:val="0"/>
        <w:keepLines w:val="0"/>
        <w:pageBreakBefore w:val="0"/>
        <w:widowControl w:val="0"/>
        <w:numPr>
          <w:ilvl w:val="0"/>
          <w:numId w:val="14"/>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309" w:name="_Toc2573"/>
      <w:r>
        <w:rPr>
          <w:rFonts w:hint="eastAsia"/>
          <w:b w:val="0"/>
          <w:bCs w:val="0"/>
          <w:sz w:val="32"/>
          <w:szCs w:val="32"/>
          <w:u w:val="none"/>
        </w:rPr>
        <w:t>矿产资源保护利用</w:t>
      </w:r>
      <w:bookmarkEnd w:id="309"/>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310" w:name="_Toc25534"/>
      <w:r>
        <w:rPr>
          <w:rFonts w:hint="eastAsia"/>
          <w:b w:val="0"/>
          <w:bCs w:val="0"/>
          <w:sz w:val="32"/>
          <w:szCs w:val="32"/>
          <w:u w:val="none"/>
        </w:rPr>
        <w:t>合理开发利用矿产资源</w:t>
      </w:r>
      <w:bookmarkEnd w:id="310"/>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cs="Times New Roman"/>
          <w:b w:val="0"/>
          <w:bCs w:val="0"/>
          <w:sz w:val="32"/>
          <w:szCs w:val="32"/>
          <w:u w:val="none"/>
        </w:rPr>
      </w:pPr>
      <w:r>
        <w:rPr>
          <w:rFonts w:hint="eastAsia" w:ascii="仿宋_GB2312" w:cs="Times New Roman"/>
          <w:b w:val="0"/>
          <w:bCs w:val="0"/>
          <w:sz w:val="32"/>
          <w:szCs w:val="32"/>
          <w:u w:val="none"/>
        </w:rPr>
        <w:t>坚持“保护为主、适度开发”，科学划定矿产资源勘查和开采规划区块，严格控制开采总量和严格执行开采规模准入制度。严格控制采矿权数量，在“上规模、高效益、少污染、保生态”的前提下，实现规模化、集约化生产。重点开展建筑用石料、矿泉水、地热等优势资源勘查利用，“十四五”规划期内，珠海市建筑用石料采矿权总数控制在</w:t>
      </w:r>
      <w:r>
        <w:rPr>
          <w:rFonts w:hint="eastAsia" w:cs="Times New Roman"/>
          <w:b w:val="0"/>
          <w:bCs w:val="0"/>
          <w:sz w:val="32"/>
          <w:szCs w:val="32"/>
          <w:u w:val="none"/>
        </w:rPr>
        <w:t>5</w:t>
      </w:r>
      <w:r>
        <w:rPr>
          <w:rFonts w:hint="eastAsia" w:ascii="仿宋_GB2312" w:cs="Times New Roman"/>
          <w:b w:val="0"/>
          <w:bCs w:val="0"/>
          <w:sz w:val="32"/>
          <w:szCs w:val="32"/>
          <w:u w:val="none"/>
        </w:rPr>
        <w:t>个以内，矿泉水、地热单个采矿权开采量控制在允许开采量的</w:t>
      </w:r>
      <w:r>
        <w:rPr>
          <w:rFonts w:hint="eastAsia" w:cs="Times New Roman"/>
          <w:b w:val="0"/>
          <w:bCs w:val="0"/>
          <w:sz w:val="32"/>
          <w:szCs w:val="32"/>
          <w:u w:val="none"/>
        </w:rPr>
        <w:t>70</w:t>
      </w:r>
      <w:r>
        <w:rPr>
          <w:rFonts w:hint="eastAsia" w:ascii="仿宋_GB2312" w:cs="Times New Roman"/>
          <w:b w:val="0"/>
          <w:bCs w:val="0"/>
          <w:sz w:val="32"/>
          <w:szCs w:val="32"/>
          <w:u w:val="none"/>
        </w:rPr>
        <w:t>%以内，海砂采矿权总数不超过</w:t>
      </w:r>
      <w:r>
        <w:rPr>
          <w:rFonts w:hint="eastAsia" w:cs="Times New Roman"/>
          <w:b w:val="0"/>
          <w:bCs w:val="0"/>
          <w:sz w:val="32"/>
          <w:szCs w:val="32"/>
          <w:u w:val="none"/>
        </w:rPr>
        <w:t>6</w:t>
      </w:r>
      <w:r>
        <w:rPr>
          <w:rFonts w:hint="eastAsia" w:ascii="仿宋_GB2312" w:cs="Times New Roman"/>
          <w:b w:val="0"/>
          <w:bCs w:val="0"/>
          <w:sz w:val="32"/>
          <w:szCs w:val="32"/>
          <w:u w:val="none"/>
        </w:rPr>
        <w:t>个。矿泉水、地热开采等严格执行建设项目水资源论证制度和取水许可制度。</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311" w:name="_Toc13472"/>
      <w:r>
        <w:rPr>
          <w:rFonts w:hint="eastAsia"/>
          <w:b w:val="0"/>
          <w:bCs w:val="0"/>
          <w:sz w:val="32"/>
          <w:szCs w:val="32"/>
          <w:u w:val="none"/>
        </w:rPr>
        <w:t>推动矿业绿色发展</w:t>
      </w:r>
      <w:bookmarkEnd w:id="311"/>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cs="Times New Roman"/>
          <w:b w:val="0"/>
          <w:bCs w:val="0"/>
          <w:sz w:val="32"/>
          <w:szCs w:val="32"/>
          <w:u w:val="none"/>
        </w:rPr>
      </w:pPr>
      <w:r>
        <w:rPr>
          <w:rFonts w:hint="eastAsia" w:ascii="仿宋_GB2312" w:cs="Times New Roman"/>
          <w:b w:val="0"/>
          <w:bCs w:val="0"/>
          <w:sz w:val="32"/>
          <w:szCs w:val="32"/>
          <w:u w:val="none"/>
        </w:rPr>
        <w:t>严格执行绿色勘查相关规范和要求，开展绿色勘查工作；严格矿区生态保护修复准入，做好矿山地质环境保护与土地</w:t>
      </w:r>
      <w:r>
        <w:rPr>
          <w:rFonts w:hint="eastAsia"/>
          <w:b w:val="0"/>
          <w:bCs w:val="0"/>
          <w:sz w:val="32"/>
          <w:szCs w:val="32"/>
          <w:u w:val="none"/>
        </w:rPr>
        <w:t>复垦</w:t>
      </w:r>
      <w:r>
        <w:rPr>
          <w:rFonts w:hint="eastAsia" w:ascii="仿宋_GB2312" w:cs="Times New Roman"/>
          <w:b w:val="0"/>
          <w:bCs w:val="0"/>
          <w:sz w:val="32"/>
          <w:szCs w:val="32"/>
          <w:u w:val="none"/>
        </w:rPr>
        <w:t>工作，鼓励矿山土地综合修复利用，有序推进“矿地统筹、先矿后地”的矿产资源开发模式。全面推进绿色矿山建设，新建矿山严格按照绿色矿山标准进行建设和生产，生产矿山严格按照绿色矿山要求进行规范管理，珠海市持证在采矿山</w:t>
      </w:r>
      <w:r>
        <w:rPr>
          <w:rFonts w:hint="eastAsia" w:cs="Times New Roman"/>
          <w:b w:val="0"/>
          <w:bCs w:val="0"/>
          <w:sz w:val="32"/>
          <w:szCs w:val="32"/>
          <w:u w:val="none"/>
        </w:rPr>
        <w:t>100</w:t>
      </w:r>
      <w:r>
        <w:rPr>
          <w:rFonts w:hint="eastAsia" w:ascii="仿宋_GB2312" w:cs="Times New Roman"/>
          <w:b w:val="0"/>
          <w:bCs w:val="0"/>
          <w:sz w:val="32"/>
          <w:szCs w:val="32"/>
          <w:u w:val="none"/>
        </w:rPr>
        <w:t>%达到绿色矿山标准。</w:t>
      </w:r>
    </w:p>
    <w:p>
      <w:pPr>
        <w:pStyle w:val="81"/>
        <w:keepNext w:val="0"/>
        <w:keepLines w:val="0"/>
        <w:pageBreakBefore w:val="0"/>
        <w:widowControl w:val="0"/>
        <w:numPr>
          <w:ilvl w:val="0"/>
          <w:numId w:val="14"/>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b w:val="0"/>
          <w:bCs w:val="0"/>
          <w:sz w:val="32"/>
          <w:szCs w:val="32"/>
          <w:u w:val="none"/>
        </w:rPr>
      </w:pPr>
      <w:bookmarkStart w:id="312" w:name="_Toc30792"/>
      <w:r>
        <w:rPr>
          <w:b w:val="0"/>
          <w:bCs w:val="0"/>
          <w:sz w:val="32"/>
          <w:szCs w:val="32"/>
          <w:u w:val="none"/>
        </w:rPr>
        <w:t>助力碳达峰碳中和</w:t>
      </w:r>
      <w:bookmarkEnd w:id="312"/>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313" w:name="_Toc23000"/>
      <w:bookmarkStart w:id="314" w:name="_Toc130822969"/>
      <w:r>
        <w:rPr>
          <w:rFonts w:hint="eastAsia"/>
          <w:b w:val="0"/>
          <w:bCs w:val="0"/>
          <w:sz w:val="32"/>
          <w:szCs w:val="32"/>
          <w:u w:val="none"/>
        </w:rPr>
        <w:t>构建</w:t>
      </w:r>
      <w:r>
        <w:rPr>
          <w:rFonts w:hint="eastAsia"/>
          <w:b w:val="0"/>
          <w:bCs w:val="0"/>
          <w:sz w:val="32"/>
          <w:szCs w:val="32"/>
          <w:u w:val="none"/>
          <w:lang w:val="en-US"/>
        </w:rPr>
        <w:t>绿色</w:t>
      </w:r>
      <w:r>
        <w:rPr>
          <w:rFonts w:hint="eastAsia"/>
          <w:b w:val="0"/>
          <w:bCs w:val="0"/>
          <w:sz w:val="32"/>
          <w:szCs w:val="32"/>
          <w:u w:val="none"/>
        </w:rPr>
        <w:t>低碳的自然资源管理体系</w:t>
      </w:r>
      <w:bookmarkEnd w:id="313"/>
      <w:bookmarkEnd w:id="314"/>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强化绿色低碳导向的国土空间布局模式，建立集约高效利用的精细化用地机制，推动形成</w:t>
      </w:r>
      <w:r>
        <w:rPr>
          <w:rFonts w:hint="eastAsia" w:ascii="仿宋_GB2312" w:hAnsi="仿宋" w:cs="Times New Roman"/>
          <w:b w:val="0"/>
          <w:bCs w:val="0"/>
          <w:kern w:val="0"/>
          <w:sz w:val="32"/>
          <w:szCs w:val="32"/>
          <w:u w:val="none"/>
        </w:rPr>
        <w:t>大生态空间体系，建设风景区中的城市</w:t>
      </w:r>
      <w:r>
        <w:rPr>
          <w:rFonts w:hint="eastAsia" w:ascii="仿宋_GB2312"/>
          <w:b w:val="0"/>
          <w:bCs w:val="0"/>
          <w:sz w:val="32"/>
          <w:szCs w:val="32"/>
          <w:u w:val="none"/>
        </w:rPr>
        <w:t>。面向碳减排，加强国土空间用途管制，促进低碳产业的合理布局与高耗能、高排放产业的退出。优化资源要素保障方式，提高自然资源利用水平，坚持整体保护、系统修复、综合治理，提升绿色低碳发展的空间治理水平。</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315" w:name="_Toc319"/>
      <w:r>
        <w:rPr>
          <w:rFonts w:hint="eastAsia"/>
          <w:b w:val="0"/>
          <w:bCs w:val="0"/>
          <w:sz w:val="32"/>
          <w:szCs w:val="32"/>
          <w:u w:val="none"/>
        </w:rPr>
        <w:t>提升</w:t>
      </w:r>
      <w:r>
        <w:rPr>
          <w:rFonts w:hint="eastAsia"/>
          <w:b w:val="0"/>
          <w:bCs w:val="0"/>
          <w:sz w:val="32"/>
          <w:szCs w:val="32"/>
          <w:u w:val="none"/>
          <w:lang w:val="en-US"/>
        </w:rPr>
        <w:t>生态</w:t>
      </w:r>
      <w:r>
        <w:rPr>
          <w:rFonts w:hint="eastAsia"/>
          <w:b w:val="0"/>
          <w:bCs w:val="0"/>
          <w:sz w:val="32"/>
          <w:szCs w:val="32"/>
          <w:u w:val="none"/>
        </w:rPr>
        <w:t>碳汇能力</w:t>
      </w:r>
      <w:bookmarkEnd w:id="315"/>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b w:val="0"/>
          <w:bCs w:val="0"/>
          <w:sz w:val="32"/>
          <w:szCs w:val="32"/>
          <w:u w:val="none"/>
        </w:rPr>
      </w:pPr>
      <w:r>
        <w:rPr>
          <w:b w:val="0"/>
          <w:bCs w:val="0"/>
          <w:sz w:val="32"/>
          <w:szCs w:val="32"/>
          <w:u w:val="none"/>
        </w:rPr>
        <w:t>巩固生态系统固碳作用。结合国土空间规划编制和实施，构建有利于碳达峰、碳中和的国土空间开发保护格局。严守生态保护红线，严控生态空间占用，建立完善全市自然保护地体系，稳定现有森林、湿地、海洋、土壤等固碳作用。精准投放新增建设用地，推动再利用土地盘活利用。严格执行土地使用标准，加强节约集约用地评价，推广节地技术和节地模式。</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b w:val="0"/>
          <w:bCs w:val="0"/>
          <w:sz w:val="32"/>
          <w:szCs w:val="32"/>
          <w:u w:val="none"/>
        </w:rPr>
      </w:pPr>
      <w:r>
        <w:rPr>
          <w:b w:val="0"/>
          <w:bCs w:val="0"/>
          <w:sz w:val="32"/>
          <w:szCs w:val="32"/>
          <w:u w:val="none"/>
        </w:rPr>
        <w:t>持续提升森林碳汇能力。开展森林质量精准提升工程建设，培育高质量水源林和大径材资源，建设沿海防护林体系和高质量生物防火林带，提升生态系统质量和稳定性，</w:t>
      </w:r>
      <w:r>
        <w:rPr>
          <w:rFonts w:hint="eastAsia"/>
          <w:b w:val="0"/>
          <w:bCs w:val="0"/>
          <w:sz w:val="32"/>
          <w:szCs w:val="32"/>
          <w:u w:val="none"/>
        </w:rPr>
        <w:t>增强</w:t>
      </w:r>
      <w:r>
        <w:rPr>
          <w:b w:val="0"/>
          <w:bCs w:val="0"/>
          <w:sz w:val="32"/>
          <w:szCs w:val="32"/>
          <w:u w:val="none"/>
        </w:rPr>
        <w:t>碳汇能力。推进绿美广东生态建设，全面实现森林提质升级，擦亮珠海森林公园和海岛森林生态新名片。</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b w:val="0"/>
          <w:bCs w:val="0"/>
          <w:sz w:val="32"/>
          <w:szCs w:val="32"/>
          <w:u w:val="none"/>
        </w:rPr>
      </w:pPr>
      <w:r>
        <w:rPr>
          <w:b w:val="0"/>
          <w:bCs w:val="0"/>
          <w:sz w:val="32"/>
          <w:szCs w:val="32"/>
          <w:u w:val="none"/>
        </w:rPr>
        <w:t>巩固提升湿地碳汇能力。加强湿地保护建设，充分发挥湿地、泥炭的碳汇作用，保护自然湿地，重点保护野生动物栖息地、野生植物原生地等人工湿地，维护湿地生态系统健康稳定。推动水生态保护修复，保障河湖生态流量。严格红树林用途管制，严守红树林生态空间。</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cs="Times New Roman"/>
          <w:b w:val="0"/>
          <w:bCs w:val="0"/>
          <w:sz w:val="32"/>
          <w:szCs w:val="32"/>
          <w:u w:val="none"/>
        </w:rPr>
      </w:pPr>
      <w:r>
        <w:rPr>
          <w:b w:val="0"/>
          <w:bCs w:val="0"/>
          <w:sz w:val="32"/>
          <w:szCs w:val="32"/>
          <w:u w:val="none"/>
        </w:rPr>
        <w:t>发掘海洋碳汇潜力。推进海洋生态系统保护和</w:t>
      </w:r>
      <w:r>
        <w:rPr>
          <w:rFonts w:hint="eastAsia"/>
          <w:b w:val="0"/>
          <w:bCs w:val="0"/>
          <w:sz w:val="32"/>
          <w:szCs w:val="32"/>
          <w:u w:val="none"/>
        </w:rPr>
        <w:t>修复</w:t>
      </w:r>
      <w:r>
        <w:rPr>
          <w:b w:val="0"/>
          <w:bCs w:val="0"/>
          <w:sz w:val="32"/>
          <w:szCs w:val="32"/>
          <w:u w:val="none"/>
        </w:rPr>
        <w:t>重大工程建设，养护海洋生物资源，维护海洋生物多样性，构建以海岸带、海岛链和各类自然保护地为支撑的海洋生态安全格局。严格保护和修复海草床、珊瑚礁等海洋生态系统，积极推动海洋碳汇开发利用。推进海生态牧场建设，有序发展海水立体综合养殖，提高海洋渔业碳汇功能。</w:t>
      </w:r>
    </w:p>
    <w:p>
      <w:pPr>
        <w:pStyle w:val="81"/>
        <w:keepNext w:val="0"/>
        <w:keepLines w:val="0"/>
        <w:pageBreakBefore w:val="0"/>
        <w:widowControl w:val="0"/>
        <w:numPr>
          <w:ilvl w:val="0"/>
          <w:numId w:val="14"/>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316" w:name="_Toc29112"/>
      <w:r>
        <w:rPr>
          <w:rFonts w:hint="eastAsia"/>
          <w:b w:val="0"/>
          <w:bCs w:val="0"/>
          <w:sz w:val="32"/>
          <w:szCs w:val="32"/>
          <w:u w:val="none"/>
        </w:rPr>
        <w:t>国土空间生态修复与土地综合整治</w:t>
      </w:r>
      <w:bookmarkEnd w:id="316"/>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317" w:name="_Toc19314"/>
      <w:r>
        <w:rPr>
          <w:rFonts w:hint="eastAsia"/>
          <w:b w:val="0"/>
          <w:bCs w:val="0"/>
          <w:sz w:val="32"/>
          <w:szCs w:val="32"/>
          <w:u w:val="none"/>
        </w:rPr>
        <w:t>实施</w:t>
      </w:r>
      <w:r>
        <w:rPr>
          <w:rFonts w:hint="eastAsia"/>
          <w:b w:val="0"/>
          <w:bCs w:val="0"/>
          <w:sz w:val="32"/>
          <w:szCs w:val="32"/>
          <w:u w:val="none"/>
          <w:lang w:val="en-US"/>
        </w:rPr>
        <w:t>系统性</w:t>
      </w:r>
      <w:r>
        <w:rPr>
          <w:rFonts w:hint="eastAsia"/>
          <w:b w:val="0"/>
          <w:bCs w:val="0"/>
          <w:sz w:val="32"/>
          <w:szCs w:val="32"/>
          <w:u w:val="none"/>
        </w:rPr>
        <w:t>生态修复</w:t>
      </w:r>
      <w:bookmarkEnd w:id="317"/>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cs="Times New Roman"/>
          <w:b w:val="0"/>
          <w:bCs w:val="0"/>
          <w:sz w:val="32"/>
          <w:szCs w:val="32"/>
          <w:u w:val="none"/>
        </w:rPr>
      </w:pPr>
      <w:r>
        <w:rPr>
          <w:rFonts w:hint="eastAsia" w:ascii="仿宋_GB2312" w:cs="Times New Roman"/>
          <w:b w:val="0"/>
          <w:bCs w:val="0"/>
          <w:sz w:val="32"/>
          <w:szCs w:val="32"/>
          <w:u w:val="none"/>
        </w:rPr>
        <w:t>坚持人与自然和谐共生，践行“绿水青山就是金山银山”理念，以绿美广东生态建设为引领，以全面提升生态安全屏障质量，促进生态系统良性循环和永续利用为目标，统筹山水林田湖草沙一体化保护和修复，筑牢海陆自然生态格局和基底，提升生态系统碳汇能力，保护生物多样性，建设重要野生动物迁徙生态廊道，将珠海建设成为具有国际影响力的生物多样性友好典范、全国海洋海岛生态保护修复示范区、人与自然和谐共生的现代化滨海城市。</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318" w:name="_Toc24388"/>
      <w:r>
        <w:rPr>
          <w:rFonts w:hint="eastAsia"/>
          <w:b w:val="0"/>
          <w:bCs w:val="0"/>
          <w:sz w:val="32"/>
          <w:szCs w:val="32"/>
          <w:u w:val="none"/>
        </w:rPr>
        <w:t>构建生物多样性保护网络</w:t>
      </w:r>
      <w:bookmarkEnd w:id="318"/>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cs="Times New Roman"/>
          <w:b w:val="0"/>
          <w:bCs w:val="0"/>
          <w:sz w:val="32"/>
          <w:szCs w:val="32"/>
          <w:u w:val="none"/>
        </w:rPr>
      </w:pPr>
      <w:r>
        <w:rPr>
          <w:rFonts w:hint="eastAsia" w:ascii="仿宋_GB2312" w:cs="Times New Roman"/>
          <w:b w:val="0"/>
          <w:bCs w:val="0"/>
          <w:sz w:val="32"/>
          <w:szCs w:val="32"/>
          <w:u w:val="none"/>
        </w:rPr>
        <w:t>加大对自然保护地、山体、河口、湿地、重要渔业资源产卵场等生物多样性保护优先区域的保护修复力度，重点加强中华白海豚、黑脸琵</w:t>
      </w:r>
      <w:r>
        <w:rPr>
          <w:rFonts w:ascii="仿宋_GB2312" w:cs="Times New Roman"/>
          <w:b w:val="0"/>
          <w:bCs w:val="0"/>
          <w:sz w:val="32"/>
          <w:szCs w:val="32"/>
          <w:u w:val="none"/>
        </w:rPr>
        <w:t>鹭、小灵猫、猕猴、水松等珍稀物种</w:t>
      </w:r>
      <w:r>
        <w:rPr>
          <w:rFonts w:hint="eastAsia" w:ascii="仿宋_GB2312" w:cs="Times New Roman"/>
          <w:b w:val="0"/>
          <w:bCs w:val="0"/>
          <w:sz w:val="32"/>
          <w:szCs w:val="32"/>
          <w:u w:val="none"/>
        </w:rPr>
        <w:t>关键栖息地保护修复。依托口门水系、山林带及海岸带等山水通廊，构建联通各类自然保护地的生态廊道网络，满足水生生物繁殖洄游、水鸟和候鸟迁飞停留、陆生野生动物栖息迁徙、野生植物原生地保护等功能。重点加强淇澳岛红树林生态系统保护修复，共建广州南沙-中山翠亨-珠海淇澳全球候鸟迁徙通道。结合都市田园、街头绿地、口袋公园、立体绿化等形式拓展城市生态开敞空间，以生态社区建构城市生态细胞，完善城市公园连道系统，提升城市生态活力。</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319" w:name="_Toc138058904"/>
      <w:bookmarkStart w:id="320" w:name="_Toc6530"/>
      <w:r>
        <w:rPr>
          <w:rFonts w:hint="eastAsia"/>
          <w:b w:val="0"/>
          <w:bCs w:val="0"/>
          <w:sz w:val="32"/>
          <w:szCs w:val="32"/>
          <w:u w:val="none"/>
        </w:rPr>
        <w:t>开展海洋生态系统修复</w:t>
      </w:r>
      <w:bookmarkEnd w:id="319"/>
      <w:bookmarkEnd w:id="320"/>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cs="Times New Roman"/>
          <w:b w:val="0"/>
          <w:bCs w:val="0"/>
          <w:sz w:val="32"/>
          <w:szCs w:val="32"/>
          <w:u w:val="none"/>
        </w:rPr>
      </w:pPr>
      <w:r>
        <w:rPr>
          <w:rFonts w:hint="eastAsia" w:ascii="仿宋_GB2312" w:cs="Times New Roman"/>
          <w:b w:val="0"/>
          <w:bCs w:val="0"/>
          <w:sz w:val="32"/>
          <w:szCs w:val="32"/>
          <w:u w:val="none"/>
        </w:rPr>
        <w:t>海岸带生态修复。开展人工岸线整治、离岸潜堤建设、海堤生态化整治、沙滩整治修复和砂质岸线生态化修复，提升岸线自然保有率，优化海岸带生态功能。因地制宜推进鸡啼门河口、磨刀门河口、坭湾门河口等地区海堤生态化建设，推进珠海市海洋生态保护修复项目等重大修复工程，恢复潮间带生态系统，实现海岸带防灾减灾和生态保护协同增效。建设逸仙湾、香炉湾、壁青湾-银沙滩美丽海湾，有效稳固近海底质和海岸线。加强自然岸线管理，确保自然岸线生态功能不降低、长度不减少、性质不改变。严格限制建设项目占用自然岸线，确需使用岸线，要按上级规定的比例比例、占用大陆人工岸线</w:t>
      </w:r>
      <w:r>
        <w:rPr>
          <w:rFonts w:hint="eastAsia" w:cs="Times New Roman"/>
          <w:b w:val="0"/>
          <w:bCs w:val="0"/>
          <w:sz w:val="32"/>
          <w:szCs w:val="32"/>
          <w:u w:val="none"/>
        </w:rPr>
        <w:t>1</w:t>
      </w:r>
      <w:r>
        <w:rPr>
          <w:rFonts w:hint="eastAsia" w:ascii="仿宋_GB2312" w:cs="Times New Roman"/>
          <w:b w:val="0"/>
          <w:bCs w:val="0"/>
          <w:sz w:val="32"/>
          <w:szCs w:val="32"/>
          <w:u w:val="none"/>
        </w:rPr>
        <w:t>:</w:t>
      </w:r>
      <w:r>
        <w:rPr>
          <w:rFonts w:hint="eastAsia" w:cs="Times New Roman"/>
          <w:b w:val="0"/>
          <w:bCs w:val="0"/>
          <w:sz w:val="32"/>
          <w:szCs w:val="32"/>
          <w:u w:val="none"/>
        </w:rPr>
        <w:t>0</w:t>
      </w:r>
      <w:r>
        <w:rPr>
          <w:rFonts w:hint="eastAsia" w:ascii="仿宋_GB2312" w:cs="Times New Roman"/>
          <w:b w:val="0"/>
          <w:bCs w:val="0"/>
          <w:sz w:val="32"/>
          <w:szCs w:val="32"/>
          <w:u w:val="none"/>
        </w:rPr>
        <w:t>.</w:t>
      </w:r>
      <w:r>
        <w:rPr>
          <w:rFonts w:hint="eastAsia" w:cs="Times New Roman"/>
          <w:b w:val="0"/>
          <w:bCs w:val="0"/>
          <w:sz w:val="32"/>
          <w:szCs w:val="32"/>
          <w:u w:val="none"/>
        </w:rPr>
        <w:t>8</w:t>
      </w:r>
      <w:r>
        <w:rPr>
          <w:rFonts w:hint="eastAsia" w:ascii="仿宋_GB2312" w:cs="Times New Roman"/>
          <w:b w:val="0"/>
          <w:bCs w:val="0"/>
          <w:sz w:val="32"/>
          <w:szCs w:val="32"/>
          <w:u w:val="none"/>
        </w:rPr>
        <w:t>、占用海岛岸线</w:t>
      </w:r>
      <w:r>
        <w:rPr>
          <w:rFonts w:hint="eastAsia" w:cs="Times New Roman"/>
          <w:b w:val="0"/>
          <w:bCs w:val="0"/>
          <w:sz w:val="32"/>
          <w:szCs w:val="32"/>
          <w:u w:val="none"/>
        </w:rPr>
        <w:t>1</w:t>
      </w:r>
      <w:r>
        <w:rPr>
          <w:rFonts w:hint="eastAsia" w:ascii="仿宋_GB2312" w:cs="Times New Roman"/>
          <w:b w:val="0"/>
          <w:bCs w:val="0"/>
          <w:sz w:val="32"/>
          <w:szCs w:val="32"/>
          <w:u w:val="none"/>
        </w:rPr>
        <w:t>:</w:t>
      </w:r>
      <w:r>
        <w:rPr>
          <w:rFonts w:hint="eastAsia" w:cs="Times New Roman"/>
          <w:b w:val="0"/>
          <w:bCs w:val="0"/>
          <w:sz w:val="32"/>
          <w:szCs w:val="32"/>
          <w:u w:val="none"/>
        </w:rPr>
        <w:t>1</w:t>
      </w:r>
      <w:r>
        <w:rPr>
          <w:rFonts w:hint="eastAsia" w:ascii="仿宋_GB2312" w:cs="Times New Roman"/>
          <w:b w:val="0"/>
          <w:bCs w:val="0"/>
          <w:sz w:val="32"/>
          <w:szCs w:val="32"/>
          <w:u w:val="none"/>
        </w:rPr>
        <w:t>的比例整治修复海岸线，形成具有自然海岸形态特征和生态功能的海岸线。</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cs="Times New Roman"/>
          <w:b w:val="0"/>
          <w:bCs w:val="0"/>
          <w:sz w:val="32"/>
          <w:szCs w:val="32"/>
          <w:u w:val="none"/>
        </w:rPr>
      </w:pPr>
      <w:r>
        <w:rPr>
          <w:rFonts w:hint="eastAsia" w:ascii="仿宋_GB2312" w:cs="Times New Roman"/>
          <w:b w:val="0"/>
          <w:bCs w:val="0"/>
          <w:sz w:val="32"/>
          <w:szCs w:val="32"/>
          <w:u w:val="none"/>
        </w:rPr>
        <w:t>典型海洋生态系统修复。保护修复红树林、珊瑚礁和海草床海洋典型生态系统，加强海洋保护修复监测与评估，维护海洋生态系统的完整性和健康。结合河口滩涂，恢复原生红树林，加强外来红树林种监测和治理。保护修复珊瑚礁生态系统，防止珊瑚礁退化，丰富珊瑚物种多样性。保护修复唐家湾海草床，为海洋生物提供栖息地，增加生物多样性。确保珠海市海洋典型生态系统保护面积不减少、修复面积稳步提升，海洋典型生态系统稳定性显著提高。</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cs="Times New Roman"/>
          <w:b w:val="0"/>
          <w:bCs w:val="0"/>
          <w:sz w:val="32"/>
          <w:szCs w:val="32"/>
          <w:u w:val="none"/>
        </w:rPr>
      </w:pPr>
      <w:r>
        <w:rPr>
          <w:rFonts w:hint="eastAsia" w:ascii="仿宋_GB2312" w:cs="Times New Roman"/>
          <w:b w:val="0"/>
          <w:bCs w:val="0"/>
          <w:sz w:val="32"/>
          <w:szCs w:val="32"/>
          <w:u w:val="none"/>
        </w:rPr>
        <w:t>海岛生态修复。结合整岛市场化出让方式，修复三角岛、牛头岛受损岛体生境。修复桂山岛、东澳岛等海岛海湾和受损砂质岸线生态系统。保护荷包岛、大</w:t>
      </w:r>
      <w:r>
        <w:rPr>
          <w:rFonts w:hint="eastAsia" w:ascii="微软雅黑" w:hAnsi="微软雅黑" w:eastAsia="微软雅黑" w:cs="微软雅黑"/>
          <w:b w:val="0"/>
          <w:bCs w:val="0"/>
          <w:sz w:val="32"/>
          <w:szCs w:val="32"/>
          <w:u w:val="none"/>
        </w:rPr>
        <w:t>杧</w:t>
      </w:r>
      <w:r>
        <w:rPr>
          <w:rFonts w:hint="eastAsia" w:ascii="仿宋_GB2312" w:hAnsi="仿宋_GB2312" w:cs="仿宋_GB2312"/>
          <w:b w:val="0"/>
          <w:bCs w:val="0"/>
          <w:sz w:val="32"/>
          <w:szCs w:val="32"/>
          <w:u w:val="none"/>
        </w:rPr>
        <w:t>岛现存天然植被。加强</w:t>
      </w:r>
      <w:r>
        <w:rPr>
          <w:rFonts w:hint="eastAsia"/>
          <w:b w:val="0"/>
          <w:bCs w:val="0"/>
          <w:sz w:val="32"/>
          <w:szCs w:val="32"/>
          <w:u w:val="none"/>
        </w:rPr>
        <w:t>岛屿</w:t>
      </w:r>
      <w:r>
        <w:rPr>
          <w:rFonts w:hint="eastAsia" w:ascii="仿宋_GB2312" w:hAnsi="仿宋_GB2312" w:cs="仿宋_GB2312"/>
          <w:b w:val="0"/>
          <w:bCs w:val="0"/>
          <w:sz w:val="32"/>
          <w:szCs w:val="32"/>
          <w:u w:val="none"/>
        </w:rPr>
        <w:t>珍稀濒危动植物保护，提升海岛及其周边海域珍稀濒危物种关键栖息地质量，结合修复</w:t>
      </w:r>
      <w:r>
        <w:rPr>
          <w:rFonts w:hint="eastAsia" w:ascii="仿宋_GB2312" w:cs="Times New Roman"/>
          <w:b w:val="0"/>
          <w:bCs w:val="0"/>
          <w:sz w:val="32"/>
          <w:szCs w:val="32"/>
          <w:u w:val="none"/>
        </w:rPr>
        <w:t>利用方式创新探索海岛多元生态产品价值实现机制。到</w:t>
      </w:r>
      <w:r>
        <w:rPr>
          <w:rFonts w:hint="eastAsia" w:cs="Times New Roman"/>
          <w:b w:val="0"/>
          <w:bCs w:val="0"/>
          <w:sz w:val="32"/>
          <w:szCs w:val="32"/>
          <w:u w:val="none"/>
        </w:rPr>
        <w:t>2</w:t>
      </w:r>
      <w:r>
        <w:rPr>
          <w:rFonts w:cs="Times New Roman"/>
          <w:b w:val="0"/>
          <w:bCs w:val="0"/>
          <w:sz w:val="32"/>
          <w:szCs w:val="32"/>
          <w:u w:val="none"/>
        </w:rPr>
        <w:t>035</w:t>
      </w:r>
      <w:r>
        <w:rPr>
          <w:rFonts w:ascii="仿宋_GB2312" w:cs="Times New Roman"/>
          <w:b w:val="0"/>
          <w:bCs w:val="0"/>
          <w:sz w:val="32"/>
          <w:szCs w:val="32"/>
          <w:u w:val="none"/>
        </w:rPr>
        <w:t>年，</w:t>
      </w:r>
      <w:r>
        <w:rPr>
          <w:rFonts w:hint="eastAsia" w:ascii="仿宋_GB2312" w:cs="Times New Roman"/>
          <w:b w:val="0"/>
          <w:bCs w:val="0"/>
          <w:sz w:val="32"/>
          <w:szCs w:val="32"/>
          <w:u w:val="none"/>
        </w:rPr>
        <w:t>重要生态受损海岛基本得到整治修复，实现海岛生态从局部修复向高层次的生态系统保护修复转变。</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321" w:name="_Toc16280"/>
      <w:r>
        <w:rPr>
          <w:rFonts w:hint="eastAsia"/>
          <w:b w:val="0"/>
          <w:bCs w:val="0"/>
          <w:sz w:val="32"/>
          <w:szCs w:val="32"/>
          <w:u w:val="none"/>
        </w:rPr>
        <w:t>开展森林生态系统修复</w:t>
      </w:r>
      <w:bookmarkEnd w:id="321"/>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_GB2312" w:cs="仿宋_GB2312"/>
          <w:b w:val="0"/>
          <w:bCs w:val="0"/>
          <w:sz w:val="32"/>
          <w:szCs w:val="32"/>
          <w:u w:val="none"/>
        </w:rPr>
      </w:pPr>
      <w:r>
        <w:rPr>
          <w:rFonts w:hint="eastAsia" w:ascii="仿宋_GB2312" w:hAnsi="仿宋_GB2312" w:cs="仿宋_GB2312"/>
          <w:b w:val="0"/>
          <w:bCs w:val="0"/>
          <w:sz w:val="32"/>
          <w:szCs w:val="32"/>
          <w:u w:val="none"/>
        </w:rPr>
        <w:t>提升森林生态系统功能。强化森林抚育和封山育林，促进森林生态系统不断正向演替，增强森林生态系统稳定性，从而提高</w:t>
      </w:r>
      <w:r>
        <w:rPr>
          <w:rFonts w:hint="eastAsia"/>
          <w:b w:val="0"/>
          <w:bCs w:val="0"/>
          <w:sz w:val="32"/>
          <w:szCs w:val="32"/>
          <w:u w:val="none"/>
        </w:rPr>
        <w:t>森林</w:t>
      </w:r>
      <w:r>
        <w:rPr>
          <w:rFonts w:hint="eastAsia" w:ascii="仿宋_GB2312" w:hAnsi="仿宋_GB2312" w:cs="仿宋_GB2312"/>
          <w:b w:val="0"/>
          <w:bCs w:val="0"/>
          <w:sz w:val="32"/>
          <w:szCs w:val="32"/>
          <w:u w:val="none"/>
        </w:rPr>
        <w:t>生态系统生产力、承载力，增强森林生态产品供给能力和碳汇能力。深度挖掘造林绿化潜力，大力实施造林生态工程，持续开展森林生态系统修复。全面推进全市重要片区低质低效林分林相优化提升，重点优化提升凤凰山、黄杨山等主要山脉的森林景观和生态质量，持续改善林相，提升林分质量。</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322" w:name="_Toc27921"/>
      <w:r>
        <w:rPr>
          <w:rFonts w:hint="eastAsia"/>
          <w:b w:val="0"/>
          <w:bCs w:val="0"/>
          <w:sz w:val="32"/>
          <w:szCs w:val="32"/>
          <w:u w:val="none"/>
        </w:rPr>
        <w:t>开展河</w:t>
      </w:r>
      <w:r>
        <w:rPr>
          <w:rFonts w:hint="eastAsia"/>
          <w:b w:val="0"/>
          <w:bCs w:val="0"/>
          <w:sz w:val="32"/>
          <w:szCs w:val="32"/>
          <w:u w:val="none"/>
          <w:lang w:val="en-US"/>
        </w:rPr>
        <w:t>湖水</w:t>
      </w:r>
      <w:r>
        <w:rPr>
          <w:rFonts w:hint="eastAsia"/>
          <w:b w:val="0"/>
          <w:bCs w:val="0"/>
          <w:sz w:val="32"/>
          <w:szCs w:val="32"/>
          <w:u w:val="none"/>
        </w:rPr>
        <w:t>系生态修复</w:t>
      </w:r>
      <w:bookmarkEnd w:id="322"/>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cs="Times New Roman"/>
          <w:b w:val="0"/>
          <w:bCs w:val="0"/>
          <w:sz w:val="32"/>
          <w:szCs w:val="32"/>
          <w:u w:val="none"/>
        </w:rPr>
      </w:pPr>
      <w:r>
        <w:rPr>
          <w:rFonts w:hint="eastAsia" w:ascii="仿宋_GB2312" w:cs="Times New Roman"/>
          <w:b w:val="0"/>
          <w:bCs w:val="0"/>
          <w:sz w:val="32"/>
          <w:szCs w:val="32"/>
          <w:u w:val="none"/>
        </w:rPr>
        <w:t>推进城乡水环境治理。强化水污染源头减排，加强涉水企业污水排放监管与循环利用。推动城镇污水处理设施提质增效，深入开展污水管网错接整改和连通工作，推进老旧管网更新、破损修复、淤积管道疏浚。强化农村生活污水治理、畜禽及</w:t>
      </w:r>
      <w:r>
        <w:rPr>
          <w:rFonts w:hint="eastAsia"/>
          <w:b w:val="0"/>
          <w:bCs w:val="0"/>
          <w:sz w:val="32"/>
          <w:szCs w:val="32"/>
          <w:u w:val="none"/>
        </w:rPr>
        <w:t>水产</w:t>
      </w:r>
      <w:r>
        <w:rPr>
          <w:rFonts w:hint="eastAsia" w:ascii="仿宋_GB2312" w:cs="Times New Roman"/>
          <w:b w:val="0"/>
          <w:bCs w:val="0"/>
          <w:sz w:val="32"/>
          <w:szCs w:val="32"/>
          <w:u w:val="none"/>
        </w:rPr>
        <w:t>养殖污染防治、种植污染管控。推进前山河、黄杨河等重点流域、凤凰河排洪渠范围及情侣路沿线水污染综合整治。</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cs="Times New Roman"/>
          <w:b w:val="0"/>
          <w:bCs w:val="0"/>
          <w:sz w:val="32"/>
          <w:szCs w:val="32"/>
          <w:u w:val="none"/>
        </w:rPr>
      </w:pPr>
      <w:r>
        <w:rPr>
          <w:rFonts w:hint="eastAsia" w:ascii="仿宋_GB2312" w:cs="Times New Roman"/>
          <w:b w:val="0"/>
          <w:bCs w:val="0"/>
          <w:sz w:val="32"/>
          <w:szCs w:val="32"/>
          <w:u w:val="none"/>
        </w:rPr>
        <w:t>推进水系连通和生态补水。开展江河湖（库）水系连通工程建设，推进城市建成区河涌水系连通，恢复河涌、坑塘、河湖等水体自然连通。在有条件的区域推进硬质化河道生态化改造，开展生态化补水，重塑河流形态和生态断面，恢复水系左右岸、上下游、干支流、地上地下的自然连通。</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cs="Times New Roman"/>
          <w:b w:val="0"/>
          <w:bCs w:val="0"/>
          <w:sz w:val="32"/>
          <w:szCs w:val="32"/>
          <w:u w:val="none"/>
        </w:rPr>
      </w:pPr>
      <w:r>
        <w:rPr>
          <w:rFonts w:hint="eastAsia" w:ascii="仿宋_GB2312" w:cs="Times New Roman"/>
          <w:b w:val="0"/>
          <w:bCs w:val="0"/>
          <w:sz w:val="32"/>
          <w:szCs w:val="32"/>
          <w:u w:val="none"/>
        </w:rPr>
        <w:t>提升水生态多样性。强化岸边带生态修复，补充河道基流，改善水动力和水生态本底条件。维护河流形态多样性，重点开展东岸排洪渠生态廊道工程、中珠排洪渠生态廊道工程、金凤排洪渠综合整治工程等河湖岸边形态修复与生态廊道工程，打造健康河流生态廊道。</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323" w:name="_Toc27368"/>
      <w:r>
        <w:rPr>
          <w:rFonts w:hint="eastAsia"/>
          <w:b w:val="0"/>
          <w:bCs w:val="0"/>
          <w:sz w:val="32"/>
          <w:szCs w:val="32"/>
          <w:u w:val="none"/>
        </w:rPr>
        <w:t>开展历史遗留矿山生态修复</w:t>
      </w:r>
      <w:bookmarkEnd w:id="323"/>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结合矿山损毁程度、立地条件、区位等因素，一矿一策推进历史遗留矿山生态修复。加大矿山地质环境恢复治理力度，消除地质灾害安全隐患并重建生态系统。利用市场化方式推动矿山石场生态整治修复，分类探索实施“生态修复+资源利用+产业融合”的综合修复治理模式。到</w:t>
      </w:r>
      <w:r>
        <w:rPr>
          <w:rFonts w:hint="eastAsia"/>
          <w:b w:val="0"/>
          <w:bCs w:val="0"/>
          <w:sz w:val="32"/>
          <w:szCs w:val="32"/>
          <w:u w:val="none"/>
        </w:rPr>
        <w:t>2035</w:t>
      </w:r>
      <w:r>
        <w:rPr>
          <w:rFonts w:hint="eastAsia" w:ascii="仿宋_GB2312"/>
          <w:b w:val="0"/>
          <w:bCs w:val="0"/>
          <w:sz w:val="32"/>
          <w:szCs w:val="32"/>
          <w:u w:val="none"/>
        </w:rPr>
        <w:t>年，历史遗留矿山生态修复取得明显成效，生态环境功能得到显著提升。</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rFonts w:hint="eastAsia"/>
          <w:b w:val="0"/>
          <w:bCs w:val="0"/>
          <w:sz w:val="32"/>
          <w:szCs w:val="32"/>
          <w:u w:val="none"/>
        </w:rPr>
      </w:pPr>
      <w:bookmarkStart w:id="324" w:name="_Toc28242"/>
      <w:r>
        <w:rPr>
          <w:rFonts w:hint="eastAsia"/>
          <w:b w:val="0"/>
          <w:bCs w:val="0"/>
          <w:sz w:val="32"/>
          <w:szCs w:val="32"/>
          <w:u w:val="none"/>
        </w:rPr>
        <w:t>推进全域土地综合整治</w:t>
      </w:r>
      <w:bookmarkEnd w:id="324"/>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聚焦“百县千镇万村高质量发展工程”，统筹协调各区优势、各镇特点和各村资源，以腾空间、增耕地、优生态、强活力为重点，建立健全全域土地综合整治专项规划体系、政策体系和实施保障机制，统筹推进农用地整理、建设用地整理、乡村生态保护修复和乡村历史文化保护，促进耕地保护和土地节约集约利用。</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耕地建设性保护。统筹规划、同步实施高效节水灌溉与高标准农田建设，加大中低产田改造力度，提升耕地地力等级，落实耕地质量监测。促进耕地和永久基本农田集中连片保护，推动斗门</w:t>
      </w:r>
      <w:r>
        <w:rPr>
          <w:rFonts w:hint="eastAsia"/>
          <w:b w:val="0"/>
          <w:bCs w:val="0"/>
          <w:sz w:val="32"/>
          <w:szCs w:val="32"/>
          <w:u w:val="none"/>
        </w:rPr>
        <w:t>生态</w:t>
      </w:r>
      <w:r>
        <w:rPr>
          <w:rFonts w:hint="eastAsia" w:ascii="仿宋_GB2312"/>
          <w:b w:val="0"/>
          <w:bCs w:val="0"/>
          <w:sz w:val="32"/>
          <w:szCs w:val="32"/>
          <w:u w:val="none"/>
        </w:rPr>
        <w:t>农业园和西部中央大田园开展零星分散耕地的整合归并、耕地恢复和提质改造等工作。通过土地平整、土壤改良、畦垄规格化整治，加强田间灌排设施、机耕道路及桥涵、积肥设施、农田林网等设施建设，形成“田成方、渠相连、水畅流、路相通、林成网、旱能灌、涝能排、渍能降、土肥沃”的标准化格局。</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ascii="仿宋_GB2312"/>
          <w:b w:val="0"/>
          <w:bCs w:val="0"/>
          <w:sz w:val="32"/>
          <w:szCs w:val="32"/>
          <w:u w:val="none"/>
        </w:rPr>
        <w:t>农用地复合利用。充分发挥农用地的生产、生态、景观和间隔的综合功能。强化农用地功能的共生融合，发展都市型精品农业，拓展农业的生态景观、休闲观光和</w:t>
      </w:r>
      <w:r>
        <w:rPr>
          <w:rFonts w:hint="eastAsia"/>
          <w:b w:val="0"/>
          <w:bCs w:val="0"/>
          <w:sz w:val="32"/>
          <w:szCs w:val="32"/>
          <w:u w:val="none"/>
        </w:rPr>
        <w:t>文化教育</w:t>
      </w:r>
      <w:r>
        <w:rPr>
          <w:rFonts w:ascii="仿宋_GB2312"/>
          <w:b w:val="0"/>
          <w:bCs w:val="0"/>
          <w:sz w:val="32"/>
          <w:szCs w:val="32"/>
          <w:u w:val="none"/>
        </w:rPr>
        <w:t>等功能。通过农用地的轮作休耕和产业调整，促进农业生产向生态型生产方式转变。强化种养结合、林下经济和立体种养等生产模式，加强农田林网建设。</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农村建设用地整治。对于农业化村居，结合斗门区农村宅基地制度改革试点，逐步探索多占和闲置宅基地自愿有偿退出机制，引导闲置宅基地在本村集体经济组织之间合理流动，并优先用于支持新房新居、公共基础设施、民宿、乡村休闲旅游等建设再利用。对于工业化村居，通过土地整备，统筹推进农村留用地、村镇工业集聚区和低效用地再开发，支撑园区产业发展。对于城镇化村居，有序推动城中村有机更新和土地征收成片开发。对于古村落村居，采用“织补”式微改造，探索市场化方式推进古村落保护及活化利用，促进乡村文旅融合发展。对于零散分布的宅基地，根据农民意愿，支持农民搬迁腾退，并优先复垦为耕地。</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全域人居环境整治修复。按照满足有利生产、方便生活和公共服务均等化的实际需要，加强农村水、路、电、气、房建设，完善道路、水电及生活垃圾、污水处理等</w:t>
      </w:r>
      <w:r>
        <w:rPr>
          <w:rFonts w:hint="eastAsia"/>
          <w:b w:val="0"/>
          <w:bCs w:val="0"/>
          <w:sz w:val="32"/>
          <w:szCs w:val="32"/>
          <w:u w:val="none"/>
        </w:rPr>
        <w:t>基础</w:t>
      </w:r>
      <w:r>
        <w:rPr>
          <w:rFonts w:hint="eastAsia" w:ascii="仿宋_GB2312"/>
          <w:b w:val="0"/>
          <w:bCs w:val="0"/>
          <w:sz w:val="32"/>
          <w:szCs w:val="32"/>
          <w:u w:val="none"/>
        </w:rPr>
        <w:t>设施，改善文化、教育、医疗、卫生等公共服务设施和消防等防灾设施，加强村庄内部绿化建设，着力完善农村基本公共服务体系，充分利用乡村基堤、道路、河渠边坡，采取林果、林塘模式建设“自然式”的农田防护林，作为区域生态廊道、绿带、绿心的重要组成部分。实现产业美、环境美、文化美、治理美、生活美的“五美”生态文明乡村。</w:t>
      </w:r>
    </w:p>
    <w:p>
      <w:pPr>
        <w:keepNext w:val="0"/>
        <w:keepLines w:val="0"/>
        <w:pageBreakBefore w:val="0"/>
        <w:widowControl w:val="0"/>
        <w:kinsoku/>
        <w:wordWrap/>
        <w:overflowPunct/>
        <w:topLinePunct w:val="0"/>
        <w:autoSpaceDE/>
        <w:autoSpaceDN/>
        <w:bidi w:val="0"/>
        <w:adjustRightInd/>
        <w:snapToGrid/>
        <w:spacing w:line="579" w:lineRule="exact"/>
        <w:ind w:firstLine="602"/>
        <w:jc w:val="left"/>
        <w:textAlignment w:val="auto"/>
        <w:rPr>
          <w:rFonts w:ascii="仿宋_GB2312"/>
          <w:b w:val="0"/>
          <w:bCs w:val="0"/>
          <w:sz w:val="32"/>
          <w:szCs w:val="32"/>
          <w:u w:val="none"/>
        </w:rPr>
        <w:sectPr>
          <w:pgSz w:w="11906" w:h="16838"/>
          <w:pgMar w:top="2041" w:right="1531" w:bottom="2041" w:left="1531" w:header="851" w:footer="1531" w:gutter="0"/>
          <w:paperSrc/>
          <w:pgNumType w:fmt="decimal"/>
          <w:cols w:space="720" w:num="1"/>
          <w:rtlGutter w:val="0"/>
          <w:docGrid w:type="linesAndChars" w:linePitch="607" w:charSpace="0"/>
        </w:sectPr>
      </w:pPr>
      <w:r>
        <w:rPr>
          <w:rFonts w:ascii="仿宋_GB2312"/>
          <w:b w:val="0"/>
          <w:bCs w:val="0"/>
          <w:sz w:val="32"/>
          <w:szCs w:val="32"/>
          <w:u w:val="none"/>
        </w:rPr>
        <w:t>建立市场化工作机制。</w:t>
      </w:r>
      <w:r>
        <w:rPr>
          <w:rFonts w:hint="eastAsia" w:ascii="仿宋_GB2312"/>
          <w:b w:val="0"/>
          <w:bCs w:val="0"/>
          <w:sz w:val="32"/>
          <w:szCs w:val="32"/>
          <w:u w:val="none"/>
        </w:rPr>
        <w:t>吸引社会资本参与全域土地综合整治工作。充分利用农村土地制度改革、农村集体</w:t>
      </w:r>
      <w:r>
        <w:rPr>
          <w:rFonts w:hint="eastAsia"/>
          <w:b w:val="0"/>
          <w:bCs w:val="0"/>
          <w:sz w:val="32"/>
          <w:szCs w:val="32"/>
          <w:u w:val="none"/>
        </w:rPr>
        <w:t>经营性</w:t>
      </w:r>
      <w:r>
        <w:rPr>
          <w:rFonts w:hint="eastAsia" w:ascii="仿宋_GB2312"/>
          <w:b w:val="0"/>
          <w:bCs w:val="0"/>
          <w:sz w:val="32"/>
          <w:szCs w:val="32"/>
          <w:u w:val="none"/>
        </w:rPr>
        <w:t>建设用地入市等政策，完善社会资本参与机制，在保障农民权益的基础上，实现多元主体在全域土地综合整治中共建共治共享。</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579" w:lineRule="exact"/>
        <w:textAlignment w:val="auto"/>
        <w:rPr>
          <w:rFonts w:hint="eastAsia" w:ascii="方正小标宋简体" w:hAnsi="方正小标宋简体" w:eastAsia="方正小标宋简体" w:cs="方正小标宋简体"/>
          <w:b w:val="0"/>
          <w:bCs w:val="0"/>
          <w:sz w:val="44"/>
          <w:szCs w:val="44"/>
          <w:u w:val="none"/>
        </w:rPr>
      </w:pPr>
      <w:bookmarkStart w:id="325" w:name="_Toc3415"/>
      <w:r>
        <w:rPr>
          <w:rFonts w:hint="eastAsia" w:ascii="方正小标宋简体" w:hAnsi="方正小标宋简体" w:eastAsia="方正小标宋简体" w:cs="方正小标宋简体"/>
          <w:b w:val="0"/>
          <w:bCs w:val="0"/>
          <w:sz w:val="44"/>
          <w:szCs w:val="44"/>
          <w:u w:val="none"/>
        </w:rPr>
        <w:t>陆海统筹</w:t>
      </w:r>
      <w:bookmarkEnd w:id="325"/>
    </w:p>
    <w:p>
      <w:pPr>
        <w:pStyle w:val="81"/>
        <w:keepNext w:val="0"/>
        <w:keepLines w:val="0"/>
        <w:pageBreakBefore w:val="0"/>
        <w:widowControl w:val="0"/>
        <w:tabs>
          <w:tab w:val="left" w:pos="0"/>
          <w:tab w:val="clear" w:pos="420"/>
        </w:tabs>
        <w:kinsoku/>
        <w:wordWrap/>
        <w:overflowPunct/>
        <w:topLinePunct w:val="0"/>
        <w:autoSpaceDE/>
        <w:autoSpaceDN/>
        <w:bidi w:val="0"/>
        <w:adjustRightInd/>
        <w:snapToGrid/>
        <w:spacing w:before="470" w:beforeLines="80" w:after="470" w:afterLines="80" w:line="579" w:lineRule="exact"/>
        <w:ind w:firstLine="403"/>
        <w:textAlignment w:val="auto"/>
        <w:rPr>
          <w:rFonts w:hint="eastAsia"/>
          <w:b w:val="0"/>
          <w:bCs w:val="0"/>
          <w:sz w:val="32"/>
          <w:szCs w:val="32"/>
          <w:u w:val="none"/>
        </w:rPr>
      </w:pPr>
      <w:bookmarkStart w:id="326" w:name="_Toc15359"/>
      <w:r>
        <w:rPr>
          <w:rFonts w:hint="eastAsia"/>
          <w:b w:val="0"/>
          <w:bCs w:val="0"/>
          <w:sz w:val="32"/>
          <w:szCs w:val="32"/>
          <w:u w:val="none"/>
        </w:rPr>
        <w:t>海洋资源保护利用</w:t>
      </w:r>
      <w:bookmarkEnd w:id="326"/>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327" w:name="_Toc4749"/>
      <w:r>
        <w:rPr>
          <w:rFonts w:hint="eastAsia"/>
          <w:b w:val="0"/>
          <w:bCs w:val="0"/>
          <w:sz w:val="32"/>
          <w:szCs w:val="32"/>
          <w:u w:val="none"/>
        </w:rPr>
        <w:t>科学高效</w:t>
      </w:r>
      <w:r>
        <w:rPr>
          <w:rFonts w:hint="eastAsia"/>
          <w:b w:val="0"/>
          <w:bCs w:val="0"/>
          <w:sz w:val="32"/>
          <w:szCs w:val="32"/>
          <w:u w:val="none"/>
          <w:lang w:val="en-US"/>
        </w:rPr>
        <w:t>利用</w:t>
      </w:r>
      <w:r>
        <w:rPr>
          <w:rFonts w:hint="eastAsia"/>
          <w:b w:val="0"/>
          <w:bCs w:val="0"/>
          <w:sz w:val="32"/>
          <w:szCs w:val="32"/>
          <w:u w:val="none"/>
        </w:rPr>
        <w:t>海域空间</w:t>
      </w:r>
      <w:bookmarkEnd w:id="327"/>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按照资源保护优先、节约集约利用的原则，在遵循</w:t>
      </w:r>
      <w:r>
        <w:rPr>
          <w:rFonts w:hint="eastAsia"/>
          <w:b w:val="0"/>
          <w:bCs w:val="0"/>
          <w:sz w:val="32"/>
          <w:szCs w:val="32"/>
          <w:u w:val="none"/>
        </w:rPr>
        <w:t>海域</w:t>
      </w:r>
      <w:r>
        <w:rPr>
          <w:rFonts w:hint="eastAsia" w:ascii="仿宋_GB2312"/>
          <w:b w:val="0"/>
          <w:bCs w:val="0"/>
          <w:sz w:val="32"/>
          <w:szCs w:val="32"/>
          <w:u w:val="none"/>
        </w:rPr>
        <w:t>分层特性基础上合理探索用海功能的兼容使用。探索海域使用权立体分层设权，完善用海兼容性管制规则，优化海域资源立体化配置。</w:t>
      </w:r>
    </w:p>
    <w:p>
      <w:pPr>
        <w:pStyle w:val="85"/>
        <w:keepNext w:val="0"/>
        <w:keepLines w:val="0"/>
        <w:pageBreakBefore w:val="0"/>
        <w:widowControl w:val="0"/>
        <w:kinsoku/>
        <w:wordWrap/>
        <w:overflowPunct/>
        <w:topLinePunct w:val="0"/>
        <w:autoSpaceDE/>
        <w:autoSpaceDN/>
        <w:bidi w:val="0"/>
        <w:adjustRightInd/>
        <w:snapToGrid/>
        <w:spacing w:before="0" w:beforeLines="0" w:after="0" w:afterLines="0" w:line="579" w:lineRule="exact"/>
        <w:ind w:left="198" w:leftChars="0" w:firstLineChars="0"/>
        <w:textAlignment w:val="auto"/>
        <w:rPr>
          <w:b w:val="0"/>
          <w:bCs w:val="0"/>
          <w:sz w:val="32"/>
          <w:szCs w:val="32"/>
          <w:u w:val="none"/>
        </w:rPr>
      </w:pPr>
      <w:bookmarkStart w:id="328" w:name="_Toc17216"/>
      <w:r>
        <w:rPr>
          <w:rFonts w:hint="eastAsia"/>
          <w:b w:val="0"/>
          <w:bCs w:val="0"/>
          <w:sz w:val="32"/>
          <w:szCs w:val="32"/>
          <w:u w:val="none"/>
        </w:rPr>
        <w:t>合理保护其它</w:t>
      </w:r>
      <w:r>
        <w:rPr>
          <w:rFonts w:hint="eastAsia"/>
          <w:b w:val="0"/>
          <w:bCs w:val="0"/>
          <w:sz w:val="32"/>
          <w:szCs w:val="32"/>
          <w:u w:val="none"/>
          <w:lang w:val="en-US"/>
        </w:rPr>
        <w:t>海洋</w:t>
      </w:r>
      <w:r>
        <w:rPr>
          <w:rFonts w:hint="eastAsia"/>
          <w:b w:val="0"/>
          <w:bCs w:val="0"/>
          <w:sz w:val="32"/>
          <w:szCs w:val="32"/>
          <w:u w:val="none"/>
        </w:rPr>
        <w:t>资源</w:t>
      </w:r>
      <w:bookmarkEnd w:id="328"/>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滨海湿地资源。加强原生自然岸线和滩涂湿地的保护，提升滨海湿地生态系统的完整性、连通性和稳定性。加强滨海湿地生物多样性保护，保留必要的滩涂作为野生动物的栖息、觅食地，</w:t>
      </w:r>
      <w:r>
        <w:rPr>
          <w:rFonts w:hint="eastAsia"/>
          <w:b w:val="0"/>
          <w:bCs w:val="0"/>
          <w:sz w:val="32"/>
          <w:szCs w:val="32"/>
          <w:u w:val="none"/>
        </w:rPr>
        <w:t>增强</w:t>
      </w:r>
      <w:r>
        <w:rPr>
          <w:rFonts w:hint="eastAsia" w:ascii="仿宋_GB2312"/>
          <w:b w:val="0"/>
          <w:bCs w:val="0"/>
          <w:sz w:val="32"/>
          <w:szCs w:val="32"/>
          <w:u w:val="none"/>
        </w:rPr>
        <w:t>滨海湿地生态系统服务功能。对受损滨海湿地生态系统开展修复工程，加强红树林人工修复管理，探索建立针对互花米草等外来入侵物种的监测预警和风险管理机制。发展蓝色碳汇，提升滨海湿地生态系统适应气候变化的能力。</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沙滩资源。加强砂质岸线管理，确保沙滩面积稳定，防止沙滩灭失。禁止在沙滩开展任何损害海岸地形地貌和生态环境的活动；禁止在沙滩向海一侧开展污染海洋环境、破坏岸滩整洁、排放海洋垃圾、引发岸滩蚀退等损害公众健康、妨碍公众亲水活动的开发活动；落实海滩垃圾清理，按照属地管理原则，落实珠海市岸滩及</w:t>
      </w:r>
      <w:r>
        <w:rPr>
          <w:rFonts w:hint="eastAsia"/>
          <w:b w:val="0"/>
          <w:bCs w:val="0"/>
          <w:sz w:val="32"/>
          <w:szCs w:val="32"/>
          <w:u w:val="none"/>
        </w:rPr>
        <w:t>100</w:t>
      </w:r>
      <w:r>
        <w:rPr>
          <w:rFonts w:hint="eastAsia" w:ascii="仿宋_GB2312"/>
          <w:b w:val="0"/>
          <w:bCs w:val="0"/>
          <w:sz w:val="32"/>
          <w:szCs w:val="32"/>
          <w:u w:val="none"/>
        </w:rPr>
        <w:t>米内水域海面的垃圾打捞和岸边滩涂的垃圾清洁责任全覆盖；加强公众亲海空间资源与环境保护，拓展公众亲海运动空间，对海岸带历史文化遗迹进行修复保护活化利用。</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珊瑚礁资源。对珊瑚礁保护区实行保护优先、严格监管的原则，保障珊瑚礁周边海域环境质量，禁止采挖、破坏珊瑚或者珊瑚礁，禁止在保护区开展海水养殖活动，维护珊瑚礁生态系统的自然状态和完整性。开展珊瑚群落常态调查监测，通过珊瑚移植、人工鱼礁等手段恢复珊瑚礁生态系统。</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海草床资源。推动唐家湾周边海域海草床生态系统的保护与修复，开展海草床分布情况、生态环境的动态监测，通过树立标识牌、开展公益宣传等途径，加强海草床区域的生态保护警示和科普。</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渔业资源。保护海洋渔业资源，严格执行海洋伏季休渔制度，探索实施更严格的禁休渔制度，加大产卵场、索饵场和洄游通道保护力度，开展生物资源增殖放流工作。持续推进现代化海洋牧场和人工鱼礁建设，保护海洋渔业资源，提升生物多样性。</w:t>
      </w:r>
    </w:p>
    <w:p>
      <w:pPr>
        <w:pStyle w:val="81"/>
        <w:keepNext w:val="0"/>
        <w:keepLines w:val="0"/>
        <w:pageBreakBefore w:val="0"/>
        <w:widowControl w:val="0"/>
        <w:tabs>
          <w:tab w:val="left" w:pos="0"/>
          <w:tab w:val="clear" w:pos="420"/>
        </w:tabs>
        <w:kinsoku/>
        <w:wordWrap/>
        <w:overflowPunct/>
        <w:topLinePunct w:val="0"/>
        <w:autoSpaceDE/>
        <w:autoSpaceDN/>
        <w:bidi w:val="0"/>
        <w:adjustRightInd/>
        <w:snapToGrid/>
        <w:spacing w:before="470" w:beforeLines="80" w:after="470" w:afterLines="80" w:line="579" w:lineRule="exact"/>
        <w:ind w:firstLine="403"/>
        <w:textAlignment w:val="auto"/>
        <w:rPr>
          <w:rFonts w:hint="eastAsia"/>
          <w:b w:val="0"/>
          <w:bCs w:val="0"/>
          <w:sz w:val="32"/>
          <w:szCs w:val="32"/>
          <w:u w:val="none"/>
        </w:rPr>
      </w:pPr>
      <w:bookmarkStart w:id="329" w:name="_Toc16447"/>
      <w:r>
        <w:rPr>
          <w:rFonts w:hint="eastAsia"/>
          <w:b w:val="0"/>
          <w:bCs w:val="0"/>
          <w:sz w:val="32"/>
          <w:szCs w:val="32"/>
          <w:u w:val="none"/>
        </w:rPr>
        <w:t>海洋空间格局</w:t>
      </w:r>
      <w:bookmarkEnd w:id="329"/>
    </w:p>
    <w:p>
      <w:pPr>
        <w:pStyle w:val="85"/>
        <w:keepNext w:val="0"/>
        <w:keepLines w:val="0"/>
        <w:pageBreakBefore w:val="0"/>
        <w:widowControl w:val="0"/>
        <w:tabs>
          <w:tab w:val="left" w:pos="0"/>
          <w:tab w:val="clear" w:pos="420"/>
        </w:tabs>
        <w:kinsoku/>
        <w:wordWrap/>
        <w:overflowPunct/>
        <w:topLinePunct w:val="0"/>
        <w:autoSpaceDE/>
        <w:autoSpaceDN/>
        <w:bidi w:val="0"/>
        <w:adjustRightInd/>
        <w:snapToGrid/>
        <w:spacing w:before="0" w:beforeLines="0" w:after="0" w:afterLines="0" w:line="579" w:lineRule="exact"/>
        <w:ind w:left="198" w:leftChars="0" w:firstLine="0" w:firstLineChars="0"/>
        <w:textAlignment w:val="auto"/>
        <w:rPr>
          <w:rFonts w:hint="eastAsia"/>
          <w:b w:val="0"/>
          <w:bCs w:val="0"/>
          <w:sz w:val="32"/>
          <w:szCs w:val="32"/>
          <w:u w:val="none"/>
          <w:lang w:val="en-US"/>
        </w:rPr>
      </w:pPr>
      <w:bookmarkStart w:id="330" w:name="_Toc138984897"/>
      <w:bookmarkStart w:id="331" w:name="_Toc22380"/>
      <w:r>
        <w:rPr>
          <w:rFonts w:hint="eastAsia"/>
          <w:b w:val="0"/>
          <w:bCs w:val="0"/>
          <w:sz w:val="32"/>
          <w:szCs w:val="32"/>
          <w:u w:val="none"/>
          <w:lang w:val="en-US"/>
        </w:rPr>
        <w:t>构建“一带双核三组团”的海洋发展空间格局</w:t>
      </w:r>
      <w:bookmarkEnd w:id="330"/>
      <w:bookmarkEnd w:id="331"/>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坚持陆海统筹，以“一线</w:t>
      </w:r>
      <w:r>
        <w:rPr>
          <w:rFonts w:hint="eastAsia" w:ascii="仿宋_GB2312"/>
          <w:b w:val="0"/>
          <w:bCs w:val="0"/>
          <w:sz w:val="32"/>
          <w:szCs w:val="32"/>
          <w:u w:val="none"/>
        </w:rPr>
        <w:t>管控</w:t>
      </w:r>
      <w:r>
        <w:rPr>
          <w:rFonts w:hint="eastAsia" w:ascii="仿宋_GB2312" w:hAnsi="仿宋" w:cs="Times New Roman"/>
          <w:b w:val="0"/>
          <w:bCs w:val="0"/>
          <w:kern w:val="0"/>
          <w:sz w:val="32"/>
          <w:szCs w:val="32"/>
          <w:u w:val="none"/>
        </w:rPr>
        <w:t>、两域对接、优近拓远、湾区协同”为重点，建设“一带双核三组团”的海洋发展空间格局，支撑区域性海洋中心城市建设。</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以海岸带为依托打造陆海统筹发展带。串联高新区、香洲区、横琴粤澳深度合作区、鹤洲南地区、金湾区、珠海经济技术开发区及富山工业园的重要滨海空间，促进陆海两域生产、生活、生态空间深度融合发展，聚焦岸线和近海海域，保障重大项目和民生项目用海需求。</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打造海洋高质量发展“双核”。即珠海经济技术开发区发展极核、横琴粤澳深度合作区-万山海洋开发试验区发展极核。依托高栏港等重大基础设施建设，做强海港枢纽对陆海联动及海洋经济发展的核心带动作用，打造具有国际竞争力的海洋高端装备制造基地和创新中心、南海油气资源勘探开发装备制造及后勤服务基地；</w:t>
      </w:r>
      <w:r>
        <w:rPr>
          <w:rFonts w:hint="eastAsia" w:ascii="仿宋_GB2312"/>
          <w:b w:val="0"/>
          <w:bCs w:val="0"/>
          <w:sz w:val="32"/>
          <w:szCs w:val="32"/>
          <w:u w:val="none"/>
        </w:rPr>
        <w:t>大力拓展深远海海域，推动岛群联动发展，加强深海养殖和远洋渔业、海上风电等产业布局，依托桂山岛群、万山岛群和外伶仃岛群，与横琴</w:t>
      </w:r>
      <w:r>
        <w:rPr>
          <w:rFonts w:hint="eastAsia" w:ascii="仿宋_GB2312" w:hAnsi="仿宋" w:cs="Times New Roman"/>
          <w:b w:val="0"/>
          <w:bCs w:val="0"/>
          <w:kern w:val="0"/>
          <w:sz w:val="32"/>
          <w:szCs w:val="32"/>
          <w:u w:val="none"/>
        </w:rPr>
        <w:t>粤澳深度</w:t>
      </w:r>
      <w:r>
        <w:rPr>
          <w:rFonts w:hint="eastAsia" w:ascii="仿宋_GB2312"/>
          <w:b w:val="0"/>
          <w:bCs w:val="0"/>
          <w:sz w:val="32"/>
          <w:szCs w:val="32"/>
          <w:u w:val="none"/>
        </w:rPr>
        <w:t>合作区联动构建陆、海、岛统筹协调的保护利用格局，</w:t>
      </w:r>
      <w:r>
        <w:rPr>
          <w:rFonts w:hint="eastAsia" w:ascii="仿宋_GB2312" w:hAnsi="仿宋" w:cs="Times New Roman"/>
          <w:b w:val="0"/>
          <w:bCs w:val="0"/>
          <w:kern w:val="0"/>
          <w:sz w:val="32"/>
          <w:szCs w:val="32"/>
          <w:u w:val="none"/>
        </w:rPr>
        <w:t>加快建设世界级海洋海岛休闲旅游目的地、大湾区蓝色经济发展新高地，打造粤港澳海洋经济合作先行区。</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hAnsi="Calibri"/>
          <w:b w:val="0"/>
          <w:bCs w:val="0"/>
          <w:sz w:val="32"/>
          <w:szCs w:val="32"/>
          <w:u w:val="none"/>
        </w:rPr>
      </w:pPr>
      <w:r>
        <w:rPr>
          <w:rFonts w:hint="eastAsia" w:ascii="仿宋_GB2312" w:hAnsi="Calibri"/>
          <w:b w:val="0"/>
          <w:bCs w:val="0"/>
          <w:sz w:val="32"/>
          <w:szCs w:val="32"/>
          <w:u w:val="none"/>
        </w:rPr>
        <w:t>打造海洋特色“三组团”。即香洲-高新组团、金湾组团、斗门-富山工业园组团，香洲-高新组团加快发展海洋总部经济和现代服务业，建设情侣路滨海运动休闲带，打造国际化创新型滨海城区和珠海海洋创新驱动发展战略主阵地；金湾组团加快推动</w:t>
      </w:r>
      <w:r>
        <w:rPr>
          <w:rFonts w:hint="eastAsia" w:ascii="仿宋_GB2312"/>
          <w:b w:val="0"/>
          <w:bCs w:val="0"/>
          <w:sz w:val="32"/>
          <w:szCs w:val="32"/>
          <w:u w:val="none"/>
        </w:rPr>
        <w:t>生物</w:t>
      </w:r>
      <w:r>
        <w:rPr>
          <w:rFonts w:hint="eastAsia" w:ascii="仿宋_GB2312" w:hAnsi="Calibri"/>
          <w:b w:val="0"/>
          <w:bCs w:val="0"/>
          <w:sz w:val="32"/>
          <w:szCs w:val="32"/>
          <w:u w:val="none"/>
        </w:rPr>
        <w:t>医药、新材料、新能源和航空等优势产业向海洋领域延伸，打造珠江口西岸装备制造产业先行区和海洋产业集群发展高地；斗门-富山工业园组团加快承接大湾区海洋产业转移，谋划布局一批海洋产业项目、产业集群，打造珠江西岸智能制造示范区。</w:t>
      </w:r>
    </w:p>
    <w:p>
      <w:pPr>
        <w:pStyle w:val="85"/>
        <w:keepNext w:val="0"/>
        <w:keepLines w:val="0"/>
        <w:pageBreakBefore w:val="0"/>
        <w:widowControl w:val="0"/>
        <w:tabs>
          <w:tab w:val="left" w:pos="0"/>
          <w:tab w:val="clear" w:pos="420"/>
        </w:tabs>
        <w:kinsoku/>
        <w:wordWrap/>
        <w:overflowPunct/>
        <w:topLinePunct w:val="0"/>
        <w:autoSpaceDE/>
        <w:autoSpaceDN/>
        <w:bidi w:val="0"/>
        <w:adjustRightInd/>
        <w:snapToGrid/>
        <w:spacing w:before="0" w:beforeLines="0" w:after="0" w:afterLines="0" w:line="579" w:lineRule="exact"/>
        <w:ind w:left="198" w:leftChars="0" w:firstLine="0" w:firstLineChars="0"/>
        <w:textAlignment w:val="auto"/>
        <w:rPr>
          <w:b w:val="0"/>
          <w:bCs w:val="0"/>
          <w:sz w:val="32"/>
          <w:szCs w:val="32"/>
          <w:u w:val="none"/>
          <w:lang w:val="en-US"/>
        </w:rPr>
      </w:pPr>
      <w:bookmarkStart w:id="332" w:name="_Toc29981"/>
      <w:r>
        <w:rPr>
          <w:rFonts w:hint="eastAsia"/>
          <w:b w:val="0"/>
          <w:bCs w:val="0"/>
          <w:sz w:val="32"/>
          <w:szCs w:val="32"/>
          <w:u w:val="none"/>
          <w:lang w:val="en-US"/>
        </w:rPr>
        <w:t>加强海域使用规划管控</w:t>
      </w:r>
      <w:bookmarkEnd w:id="332"/>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cs="Times New Roman"/>
          <w:b w:val="0"/>
          <w:bCs w:val="0"/>
          <w:sz w:val="32"/>
          <w:szCs w:val="32"/>
          <w:u w:val="none"/>
        </w:rPr>
      </w:pPr>
      <w:r>
        <w:rPr>
          <w:rFonts w:hint="eastAsia" w:ascii="仿宋_GB2312" w:cs="Times New Roman"/>
          <w:b w:val="0"/>
          <w:bCs w:val="0"/>
          <w:kern w:val="0"/>
          <w:sz w:val="32"/>
          <w:szCs w:val="32"/>
          <w:u w:val="none"/>
        </w:rPr>
        <w:t>结合海域使用和管理要求，加强海洋发展区</w:t>
      </w:r>
      <w:r>
        <w:rPr>
          <w:rFonts w:hint="eastAsia" w:ascii="仿宋_GB2312"/>
          <w:b w:val="0"/>
          <w:bCs w:val="0"/>
          <w:sz w:val="32"/>
          <w:szCs w:val="32"/>
          <w:u w:val="none"/>
        </w:rPr>
        <w:t>二级</w:t>
      </w:r>
      <w:r>
        <w:rPr>
          <w:rFonts w:hint="eastAsia" w:ascii="仿宋_GB2312" w:cs="Times New Roman"/>
          <w:b w:val="0"/>
          <w:bCs w:val="0"/>
          <w:kern w:val="0"/>
          <w:sz w:val="32"/>
          <w:szCs w:val="32"/>
          <w:u w:val="none"/>
        </w:rPr>
        <w:t>规划分区管控指引，详见专栏</w:t>
      </w:r>
      <w:r>
        <w:rPr>
          <w:rFonts w:cs="Times New Roman"/>
          <w:b w:val="0"/>
          <w:bCs w:val="0"/>
          <w:kern w:val="0"/>
          <w:sz w:val="32"/>
          <w:szCs w:val="32"/>
          <w:u w:val="none"/>
        </w:rPr>
        <w:t>13</w:t>
      </w:r>
      <w:r>
        <w:rPr>
          <w:rFonts w:ascii="仿宋_GB2312" w:cs="Times New Roman"/>
          <w:b w:val="0"/>
          <w:bCs w:val="0"/>
          <w:kern w:val="0"/>
          <w:sz w:val="32"/>
          <w:szCs w:val="32"/>
          <w:u w:val="none"/>
        </w:rPr>
        <w:t>-</w:t>
      </w:r>
      <w:r>
        <w:rPr>
          <w:rFonts w:cs="Times New Roman"/>
          <w:b w:val="0"/>
          <w:bCs w:val="0"/>
          <w:kern w:val="0"/>
          <w:sz w:val="32"/>
          <w:szCs w:val="32"/>
          <w:u w:val="none"/>
        </w:rPr>
        <w:t>1</w:t>
      </w:r>
      <w:r>
        <w:rPr>
          <w:rFonts w:hint="eastAsia" w:ascii="仿宋_GB2312" w:cs="Times New Roman"/>
          <w:b w:val="0"/>
          <w:bCs w:val="0"/>
          <w:kern w:val="0"/>
          <w:sz w:val="32"/>
          <w:szCs w:val="32"/>
          <w:u w:val="none"/>
        </w:rPr>
        <w:t>。</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1"/>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8" w:type="dxa"/>
            <w:gridSpan w:val="2"/>
            <w:shd w:val="clear" w:color="auto" w:fill="D9D9D9"/>
            <w:noWrap w:val="0"/>
            <w:vAlign w:val="top"/>
          </w:tcPr>
          <w:p>
            <w:pPr>
              <w:spacing w:before="46" w:after="46"/>
              <w:ind w:firstLine="0" w:firstLineChars="0"/>
              <w:jc w:val="center"/>
              <w:rPr>
                <w:rFonts w:hint="eastAsia" w:ascii="仿宋" w:hAnsi="仿宋" w:cs="Times New Roman"/>
                <w:b w:val="0"/>
                <w:bCs w:val="0"/>
                <w:sz w:val="22"/>
                <w:u w:val="none"/>
              </w:rPr>
            </w:pPr>
            <w:r>
              <w:rPr>
                <w:rFonts w:hint="eastAsia" w:eastAsia="黑体" w:cs="Times New Roman"/>
                <w:b w:val="0"/>
                <w:bCs w:val="0"/>
                <w:kern w:val="0"/>
                <w:u w:val="none"/>
              </w:rPr>
              <w:t>专栏</w:t>
            </w:r>
            <w:r>
              <w:rPr>
                <w:rFonts w:eastAsia="黑体" w:cs="Times New Roman"/>
                <w:b w:val="0"/>
                <w:bCs w:val="0"/>
                <w:kern w:val="0"/>
                <w:u w:val="none"/>
              </w:rPr>
              <w:t>13-1：</w:t>
            </w:r>
            <w:r>
              <w:rPr>
                <w:rFonts w:hint="eastAsia" w:eastAsia="黑体" w:cs="Times New Roman"/>
                <w:b w:val="0"/>
                <w:bCs w:val="0"/>
                <w:kern w:val="0"/>
                <w:u w:val="none"/>
              </w:rPr>
              <w:t xml:space="preserve"> 海洋发展区二级规划分区管控指引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201" w:type="dxa"/>
            <w:noWrap w:val="0"/>
            <w:vAlign w:val="top"/>
          </w:tcPr>
          <w:p>
            <w:pPr>
              <w:pStyle w:val="8"/>
              <w:ind w:firstLine="400"/>
              <w:rPr>
                <w:rFonts w:hint="eastAsia"/>
                <w:b w:val="0"/>
                <w:bCs w:val="0"/>
                <w:u w:val="none"/>
              </w:rPr>
            </w:pPr>
            <w:r>
              <w:rPr>
                <w:rFonts w:hint="eastAsia"/>
                <w:b w:val="0"/>
                <w:bCs w:val="0"/>
                <w:u w:val="none"/>
              </w:rPr>
              <w:t>规划分区</w:t>
            </w:r>
          </w:p>
        </w:tc>
        <w:tc>
          <w:tcPr>
            <w:tcW w:w="7087" w:type="dxa"/>
            <w:noWrap w:val="0"/>
            <w:vAlign w:val="top"/>
          </w:tcPr>
          <w:p>
            <w:pPr>
              <w:pStyle w:val="8"/>
              <w:ind w:firstLine="400"/>
              <w:rPr>
                <w:rFonts w:hint="eastAsia"/>
                <w:b w:val="0"/>
                <w:bCs w:val="0"/>
                <w:u w:val="none"/>
              </w:rPr>
            </w:pPr>
            <w:r>
              <w:rPr>
                <w:rFonts w:hint="eastAsia"/>
                <w:b w:val="0"/>
                <w:bCs w:val="0"/>
                <w:u w:val="none"/>
              </w:rPr>
              <w:t>管控指引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201" w:type="dxa"/>
            <w:noWrap w:val="0"/>
            <w:vAlign w:val="center"/>
          </w:tcPr>
          <w:p>
            <w:pPr>
              <w:pStyle w:val="8"/>
              <w:ind w:firstLine="400"/>
              <w:rPr>
                <w:rFonts w:hint="eastAsia"/>
                <w:b w:val="0"/>
                <w:bCs w:val="0"/>
                <w:u w:val="none"/>
              </w:rPr>
            </w:pPr>
            <w:r>
              <w:rPr>
                <w:rFonts w:hint="eastAsia"/>
                <w:b w:val="0"/>
                <w:bCs w:val="0"/>
                <w:u w:val="none"/>
              </w:rPr>
              <w:t>渔业用海区</w:t>
            </w:r>
          </w:p>
        </w:tc>
        <w:tc>
          <w:tcPr>
            <w:tcW w:w="7087" w:type="dxa"/>
            <w:noWrap w:val="0"/>
            <w:vAlign w:val="top"/>
          </w:tcPr>
          <w:p>
            <w:pPr>
              <w:pStyle w:val="61"/>
              <w:ind w:firstLine="480"/>
              <w:rPr>
                <w:rFonts w:hint="eastAsia"/>
                <w:b w:val="0"/>
                <w:bCs w:val="0"/>
                <w:u w:val="none"/>
              </w:rPr>
            </w:pPr>
            <w:r>
              <w:rPr>
                <w:rFonts w:hint="eastAsia"/>
                <w:b w:val="0"/>
                <w:bCs w:val="0"/>
                <w:u w:val="none"/>
              </w:rPr>
              <w:t>应按提升近海、开发深海、拓展远洋的原则，严格控制近海捕捞强度，优化配置渔业用海空间，重点支持深海养殖、海洋牧场等用海需求，加强水生生物产卵场、索饵场、越冬场及洄游通道保护，保持海洋生态系统结构与功能的稳定，严格执行农渔业区海水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201" w:type="dxa"/>
            <w:noWrap w:val="0"/>
            <w:vAlign w:val="center"/>
          </w:tcPr>
          <w:p>
            <w:pPr>
              <w:pStyle w:val="8"/>
              <w:ind w:firstLine="400"/>
              <w:rPr>
                <w:rFonts w:hint="eastAsia"/>
                <w:b w:val="0"/>
                <w:bCs w:val="0"/>
                <w:u w:val="none"/>
              </w:rPr>
            </w:pPr>
            <w:r>
              <w:rPr>
                <w:rFonts w:hint="eastAsia"/>
                <w:b w:val="0"/>
                <w:bCs w:val="0"/>
                <w:u w:val="none"/>
              </w:rPr>
              <w:t>交通运输用海区</w:t>
            </w:r>
          </w:p>
        </w:tc>
        <w:tc>
          <w:tcPr>
            <w:tcW w:w="7087" w:type="dxa"/>
            <w:noWrap w:val="0"/>
            <w:vAlign w:val="top"/>
          </w:tcPr>
          <w:p>
            <w:pPr>
              <w:pStyle w:val="61"/>
              <w:ind w:firstLine="480"/>
              <w:rPr>
                <w:rFonts w:hint="eastAsia"/>
                <w:b w:val="0"/>
                <w:bCs w:val="0"/>
                <w:u w:val="none"/>
              </w:rPr>
            </w:pPr>
            <w:r>
              <w:rPr>
                <w:rFonts w:hint="eastAsia"/>
                <w:b w:val="0"/>
                <w:bCs w:val="0"/>
                <w:u w:val="none"/>
              </w:rPr>
              <w:t>应按照深水深用、布局合理、结构优化、层次分明的原则，深化港口岸线资源整合，完善港口布局，推进沿海港口规模化、专业化协调发展，切实保障沿海主要港口和地区重要港口的用海需求。维护沿海主要港口、航路和锚地海域功能，保障航运安全。加强港口应急设施建设和海域水质监管，减少对临近用海区域主导功能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201" w:type="dxa"/>
            <w:noWrap w:val="0"/>
            <w:vAlign w:val="center"/>
          </w:tcPr>
          <w:p>
            <w:pPr>
              <w:pStyle w:val="8"/>
              <w:ind w:firstLine="400"/>
              <w:rPr>
                <w:rFonts w:hint="eastAsia"/>
                <w:b w:val="0"/>
                <w:bCs w:val="0"/>
                <w:u w:val="none"/>
              </w:rPr>
            </w:pPr>
            <w:r>
              <w:rPr>
                <w:rFonts w:hint="eastAsia"/>
                <w:b w:val="0"/>
                <w:bCs w:val="0"/>
                <w:u w:val="none"/>
              </w:rPr>
              <w:t>工矿通信用海区</w:t>
            </w:r>
          </w:p>
        </w:tc>
        <w:tc>
          <w:tcPr>
            <w:tcW w:w="7087" w:type="dxa"/>
            <w:noWrap w:val="0"/>
            <w:vAlign w:val="top"/>
          </w:tcPr>
          <w:p>
            <w:pPr>
              <w:pStyle w:val="61"/>
              <w:ind w:firstLine="480"/>
              <w:rPr>
                <w:rFonts w:hint="eastAsia"/>
                <w:b w:val="0"/>
                <w:bCs w:val="0"/>
                <w:u w:val="none"/>
              </w:rPr>
            </w:pPr>
            <w:r>
              <w:rPr>
                <w:rFonts w:hint="eastAsia"/>
                <w:b w:val="0"/>
                <w:bCs w:val="0"/>
                <w:u w:val="none"/>
              </w:rPr>
              <w:t>应按照海陆统筹、突出重点、集中集约、有序开发的原则，优先安排国家区域发展战略确定的重大工业项目用海，保障重大涉海项目的用海需求。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201" w:type="dxa"/>
            <w:noWrap w:val="0"/>
            <w:vAlign w:val="center"/>
          </w:tcPr>
          <w:p>
            <w:pPr>
              <w:pStyle w:val="8"/>
              <w:ind w:firstLine="400"/>
              <w:rPr>
                <w:rFonts w:hint="eastAsia"/>
                <w:b w:val="0"/>
                <w:bCs w:val="0"/>
                <w:u w:val="none"/>
              </w:rPr>
            </w:pPr>
            <w:r>
              <w:rPr>
                <w:rFonts w:hint="eastAsia"/>
                <w:b w:val="0"/>
                <w:bCs w:val="0"/>
                <w:u w:val="none"/>
              </w:rPr>
              <w:t>游憩用海区</w:t>
            </w:r>
          </w:p>
        </w:tc>
        <w:tc>
          <w:tcPr>
            <w:tcW w:w="7087" w:type="dxa"/>
            <w:noWrap w:val="0"/>
            <w:vAlign w:val="top"/>
          </w:tcPr>
          <w:p>
            <w:pPr>
              <w:pStyle w:val="61"/>
              <w:ind w:firstLine="480"/>
              <w:rPr>
                <w:rFonts w:hint="eastAsia"/>
                <w:b w:val="0"/>
                <w:bCs w:val="0"/>
                <w:u w:val="none"/>
              </w:rPr>
            </w:pPr>
            <w:r>
              <w:rPr>
                <w:rFonts w:hint="eastAsia"/>
                <w:b w:val="0"/>
                <w:bCs w:val="0"/>
                <w:u w:val="none"/>
              </w:rPr>
              <w:t>应按照严格保护、合理开发、高端发展、永续利用的原则，科学有序开发海岸线、海湾、海岛等重要旅游资源，重点保障滨海旅游景区及重点旅游项目用海需求。游憩用海污水和生活垃圾应符合海域环境区划的相关要求，必须科学处置、达标排放，禁止直接排入海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201" w:type="dxa"/>
            <w:noWrap w:val="0"/>
            <w:vAlign w:val="center"/>
          </w:tcPr>
          <w:p>
            <w:pPr>
              <w:pStyle w:val="8"/>
              <w:ind w:firstLine="400"/>
              <w:rPr>
                <w:rFonts w:hint="eastAsia"/>
                <w:b w:val="0"/>
                <w:bCs w:val="0"/>
                <w:u w:val="none"/>
              </w:rPr>
            </w:pPr>
            <w:r>
              <w:rPr>
                <w:rFonts w:hint="eastAsia"/>
                <w:b w:val="0"/>
                <w:bCs w:val="0"/>
                <w:u w:val="none"/>
              </w:rPr>
              <w:t>特殊利用区</w:t>
            </w:r>
          </w:p>
        </w:tc>
        <w:tc>
          <w:tcPr>
            <w:tcW w:w="7087" w:type="dxa"/>
            <w:noWrap w:val="0"/>
            <w:vAlign w:val="top"/>
          </w:tcPr>
          <w:p>
            <w:pPr>
              <w:pStyle w:val="61"/>
              <w:ind w:firstLine="480"/>
              <w:rPr>
                <w:rFonts w:hint="eastAsia"/>
                <w:b w:val="0"/>
                <w:bCs w:val="0"/>
                <w:u w:val="none"/>
              </w:rPr>
            </w:pPr>
            <w:r>
              <w:rPr>
                <w:rFonts w:hint="eastAsia"/>
                <w:b w:val="0"/>
                <w:bCs w:val="0"/>
                <w:u w:val="none"/>
              </w:rPr>
              <w:t>应优先保障国防安全和军事用海需要，加强军事设施保护，限制在军事区内从事其他海洋开发利用活动；加强科研用海支撑，重点保障国家海洋综合试验场（珠海）、珠江口中华白海豚国家级自然保护区白海豚救护保育基地项目等重大项目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201" w:type="dxa"/>
            <w:noWrap w:val="0"/>
            <w:vAlign w:val="center"/>
          </w:tcPr>
          <w:p>
            <w:pPr>
              <w:pStyle w:val="8"/>
              <w:ind w:firstLine="400"/>
              <w:rPr>
                <w:rFonts w:hint="eastAsia"/>
                <w:b w:val="0"/>
                <w:bCs w:val="0"/>
                <w:u w:val="none"/>
              </w:rPr>
            </w:pPr>
            <w:r>
              <w:rPr>
                <w:rFonts w:hint="eastAsia"/>
                <w:b w:val="0"/>
                <w:bCs w:val="0"/>
                <w:u w:val="none"/>
              </w:rPr>
              <w:t>海洋预留区</w:t>
            </w:r>
          </w:p>
        </w:tc>
        <w:tc>
          <w:tcPr>
            <w:tcW w:w="7087" w:type="dxa"/>
            <w:noWrap w:val="0"/>
            <w:vAlign w:val="top"/>
          </w:tcPr>
          <w:p>
            <w:pPr>
              <w:pStyle w:val="61"/>
              <w:ind w:firstLine="480"/>
              <w:rPr>
                <w:rFonts w:hint="eastAsia"/>
                <w:b w:val="0"/>
                <w:bCs w:val="0"/>
                <w:u w:val="none"/>
              </w:rPr>
            </w:pPr>
            <w:r>
              <w:rPr>
                <w:rFonts w:hint="eastAsia"/>
                <w:b w:val="0"/>
                <w:bCs w:val="0"/>
                <w:u w:val="none"/>
              </w:rPr>
              <w:t>重点保障未来发展的战略预留空间。</w:t>
            </w:r>
          </w:p>
        </w:tc>
      </w:tr>
    </w:tbl>
    <w:p>
      <w:pPr>
        <w:pStyle w:val="85"/>
        <w:keepNext w:val="0"/>
        <w:keepLines w:val="0"/>
        <w:pageBreakBefore w:val="0"/>
        <w:widowControl w:val="0"/>
        <w:tabs>
          <w:tab w:val="left" w:pos="0"/>
          <w:tab w:val="clear" w:pos="420"/>
        </w:tabs>
        <w:kinsoku/>
        <w:wordWrap/>
        <w:overflowPunct/>
        <w:topLinePunct w:val="0"/>
        <w:autoSpaceDE/>
        <w:autoSpaceDN/>
        <w:bidi w:val="0"/>
        <w:adjustRightInd/>
        <w:snapToGrid/>
        <w:spacing w:before="0" w:beforeLines="0" w:after="0" w:afterLines="0" w:line="579" w:lineRule="exact"/>
        <w:ind w:left="198" w:leftChars="0" w:firstLine="0" w:firstLineChars="0"/>
        <w:textAlignment w:val="auto"/>
        <w:rPr>
          <w:b w:val="0"/>
          <w:bCs w:val="0"/>
          <w:sz w:val="32"/>
          <w:szCs w:val="32"/>
          <w:u w:val="none"/>
          <w:lang w:val="en-US"/>
        </w:rPr>
      </w:pPr>
      <w:bookmarkStart w:id="333" w:name="_Toc2382"/>
      <w:r>
        <w:rPr>
          <w:rFonts w:hint="eastAsia"/>
          <w:b w:val="0"/>
          <w:bCs w:val="0"/>
          <w:sz w:val="32"/>
          <w:szCs w:val="32"/>
          <w:u w:val="none"/>
          <w:lang w:val="en-US"/>
        </w:rPr>
        <w:t>统筹协调海岸带陆海功能</w:t>
      </w:r>
      <w:bookmarkEnd w:id="333"/>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落实海岸建筑退缩线制度。在尊重历史和现状的基础上，因地制宜划定海岸建筑退缩线和建设控制地带，合理指引海岸带地区开发建设。加强海岸建筑退缩线管控，除国家、省允许的工程与设施建设外，退缩线范围内的改、扩建应按照尊重历史、实事求是的原则，分类实施海岸建筑退缩管控。重要滨海生活岸线，其陆域沿海纵深的建设控制地带原则上不得少于</w:t>
      </w:r>
      <w:r>
        <w:rPr>
          <w:rFonts w:hint="eastAsia"/>
          <w:b w:val="0"/>
          <w:bCs w:val="0"/>
          <w:sz w:val="32"/>
          <w:szCs w:val="32"/>
          <w:u w:val="none"/>
        </w:rPr>
        <w:t>120</w:t>
      </w:r>
      <w:r>
        <w:rPr>
          <w:rFonts w:hint="eastAsia" w:ascii="仿宋_GB2312"/>
          <w:b w:val="0"/>
          <w:bCs w:val="0"/>
          <w:sz w:val="32"/>
          <w:szCs w:val="32"/>
          <w:u w:val="none"/>
        </w:rPr>
        <w:t>米，建设控制地带内只能建设道路基础设施、市政公用设施、旅游设施和公园等。</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加强海岸带陆海生态系统一体化保护。除国家重大战略项目外，全面停止新增围填海项目审批。加强海岸带生态系统保护与修复，重点推动金星门滨海湿地、凤凰山-情侣路近岸滩涂、磨刀门滨海湿地和鸡啼门滨海湿地等生态保护红线集中区域的陆海一体生态保护，加强滨海红树林、珊瑚礁、海草床等典型海洋生态系统保护，提升海岸带生态功能。</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ascii="仿宋_GB2312"/>
          <w:b w:val="0"/>
          <w:bCs w:val="0"/>
          <w:sz w:val="32"/>
          <w:szCs w:val="32"/>
          <w:u w:val="none"/>
        </w:rPr>
      </w:pPr>
      <w:r>
        <w:rPr>
          <w:rFonts w:hint="eastAsia" w:ascii="仿宋_GB2312"/>
          <w:b w:val="0"/>
          <w:bCs w:val="0"/>
          <w:sz w:val="32"/>
          <w:szCs w:val="32"/>
          <w:u w:val="none"/>
        </w:rPr>
        <w:t>加强陆海一体开发利用区域的功能协调。统筹安排各类用海活动，重点保障港口码头周边地区、临海产业区、滨海旅游景区及滨海城区用地用海功能协调对接。探索海岸带陆海一体化区域单元详细规划编制管理，统筹重点海岛及周边海域编制无居民海岛详细规划，优化用地用海用岛审批机制。</w:t>
      </w:r>
    </w:p>
    <w:p>
      <w:pPr>
        <w:pStyle w:val="85"/>
        <w:keepNext w:val="0"/>
        <w:keepLines w:val="0"/>
        <w:pageBreakBefore w:val="0"/>
        <w:widowControl w:val="0"/>
        <w:tabs>
          <w:tab w:val="left" w:pos="0"/>
          <w:tab w:val="clear" w:pos="420"/>
        </w:tabs>
        <w:kinsoku/>
        <w:wordWrap/>
        <w:overflowPunct/>
        <w:topLinePunct w:val="0"/>
        <w:autoSpaceDE/>
        <w:autoSpaceDN/>
        <w:bidi w:val="0"/>
        <w:adjustRightInd/>
        <w:snapToGrid/>
        <w:spacing w:before="0" w:beforeLines="0" w:after="0" w:afterLines="0" w:line="579" w:lineRule="exact"/>
        <w:ind w:left="198" w:leftChars="0" w:firstLine="0" w:firstLineChars="0"/>
        <w:textAlignment w:val="auto"/>
        <w:rPr>
          <w:rFonts w:hint="eastAsia"/>
          <w:b w:val="0"/>
          <w:bCs w:val="0"/>
          <w:sz w:val="32"/>
          <w:szCs w:val="32"/>
          <w:u w:val="none"/>
          <w:lang w:val="en-US"/>
        </w:rPr>
      </w:pPr>
      <w:bookmarkStart w:id="334" w:name="_Toc30"/>
      <w:r>
        <w:rPr>
          <w:rFonts w:hint="eastAsia"/>
          <w:b w:val="0"/>
          <w:bCs w:val="0"/>
          <w:sz w:val="32"/>
          <w:szCs w:val="32"/>
          <w:u w:val="none"/>
          <w:lang w:val="en-US"/>
        </w:rPr>
        <w:t>分类实施海岸线保护利用</w:t>
      </w:r>
      <w:bookmarkEnd w:id="334"/>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 xml:space="preserve">基于海岸线的自然属性，结合开发利用现状与需求，将海岸线分为严格保护、限制开发和优化利用三种类型 。 </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严格保护岸线。即自然形态保护完好、生态功能与资源价值显著的自然岸线。应明确保护边界，设立保护标识，除国防安全需要之外，禁止在保护范围内构建永久性建筑物、围填海、开采海砂、设置排污口等损害海岸地形地貌和生态环境的活动。规划严格保护岸线总长度</w:t>
      </w:r>
      <w:r>
        <w:rPr>
          <w:rFonts w:hint="eastAsia"/>
          <w:b w:val="0"/>
          <w:bCs w:val="0"/>
          <w:sz w:val="32"/>
          <w:szCs w:val="32"/>
          <w:u w:val="none"/>
        </w:rPr>
        <w:t>23</w:t>
      </w:r>
      <w:r>
        <w:rPr>
          <w:rFonts w:hint="eastAsia" w:ascii="仿宋_GB2312"/>
          <w:b w:val="0"/>
          <w:bCs w:val="0"/>
          <w:sz w:val="32"/>
          <w:szCs w:val="32"/>
          <w:u w:val="none"/>
        </w:rPr>
        <w:t>.</w:t>
      </w:r>
      <w:r>
        <w:rPr>
          <w:rFonts w:hint="eastAsia"/>
          <w:b w:val="0"/>
          <w:bCs w:val="0"/>
          <w:sz w:val="32"/>
          <w:szCs w:val="32"/>
          <w:u w:val="none"/>
        </w:rPr>
        <w:t>7</w:t>
      </w:r>
      <w:r>
        <w:rPr>
          <w:rFonts w:hint="eastAsia" w:ascii="仿宋_GB2312"/>
          <w:b w:val="0"/>
          <w:bCs w:val="0"/>
          <w:sz w:val="32"/>
          <w:szCs w:val="32"/>
          <w:u w:val="none"/>
        </w:rPr>
        <w:t>公里。</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限制开发岸线。即自然形态保持基本完整、生态功能与资源价值较好、开发利用程度较低的海岸线。严格控制改变海岸自然形态和影响海岸生态功能的开发利用活动，预留未来发展空间，严格海域使用审批。</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优化利用岸线。即人工化程度较高、海岸防护与开发利用条件较好的海岸线。应重点保障国家重大基础设施、国防工程、重大民生工程和国家重大战略项目，优先支持海洋战略性新兴产业、绿色环保产业、循环经济产业发展和海洋特色产业园区建设项目，严格控制占用岸线长度，提高投资强度和利用效率，优化海岸线开发利用格局。</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到</w:t>
      </w:r>
      <w:r>
        <w:rPr>
          <w:rFonts w:hint="eastAsia"/>
          <w:b w:val="0"/>
          <w:bCs w:val="0"/>
          <w:sz w:val="32"/>
          <w:szCs w:val="32"/>
          <w:u w:val="none"/>
        </w:rPr>
        <w:t>2035</w:t>
      </w:r>
      <w:r>
        <w:rPr>
          <w:rFonts w:hint="eastAsia" w:ascii="仿宋_GB2312"/>
          <w:b w:val="0"/>
          <w:bCs w:val="0"/>
          <w:sz w:val="32"/>
          <w:szCs w:val="32"/>
          <w:u w:val="none"/>
        </w:rPr>
        <w:t>年，大陆自然岸线保有率不低于上级下达管控目标。占用海岸线导致岸线原有形态或生态功能发生变化的用海项目，需按照国家和广东省海岸线占补有关制度，开展海岸线整治修复或购买海岸线指标。</w:t>
      </w:r>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如本规划所提及的海岸线分类管控目标指标及具体要求与相关上位规划有冲突，以上位规划为准。</w:t>
      </w:r>
    </w:p>
    <w:p>
      <w:pPr>
        <w:pStyle w:val="85"/>
        <w:keepNext w:val="0"/>
        <w:keepLines w:val="0"/>
        <w:pageBreakBefore w:val="0"/>
        <w:widowControl w:val="0"/>
        <w:tabs>
          <w:tab w:val="left" w:pos="0"/>
          <w:tab w:val="clear" w:pos="420"/>
        </w:tabs>
        <w:kinsoku/>
        <w:wordWrap/>
        <w:overflowPunct/>
        <w:topLinePunct w:val="0"/>
        <w:autoSpaceDE/>
        <w:autoSpaceDN/>
        <w:bidi w:val="0"/>
        <w:adjustRightInd/>
        <w:snapToGrid/>
        <w:spacing w:before="0" w:beforeLines="0" w:after="0" w:afterLines="0" w:line="579" w:lineRule="exact"/>
        <w:ind w:left="198" w:leftChars="0" w:firstLine="0" w:firstLineChars="0"/>
        <w:textAlignment w:val="auto"/>
        <w:rPr>
          <w:b w:val="0"/>
          <w:bCs w:val="0"/>
          <w:sz w:val="32"/>
          <w:szCs w:val="32"/>
          <w:u w:val="none"/>
          <w:lang w:val="en-US"/>
        </w:rPr>
      </w:pPr>
      <w:bookmarkStart w:id="335" w:name="_Toc20475"/>
      <w:r>
        <w:rPr>
          <w:rFonts w:hint="eastAsia"/>
          <w:b w:val="0"/>
          <w:bCs w:val="0"/>
          <w:sz w:val="32"/>
          <w:szCs w:val="32"/>
          <w:u w:val="none"/>
          <w:lang w:val="en-US"/>
        </w:rPr>
        <w:t>分类保护利用无居民海岛</w:t>
      </w:r>
      <w:bookmarkEnd w:id="335"/>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ascii="仿宋_GB2312"/>
          <w:b w:val="0"/>
          <w:bCs w:val="0"/>
          <w:sz w:val="32"/>
          <w:szCs w:val="32"/>
          <w:u w:val="none"/>
        </w:rPr>
        <w:t>全面落实无居民海岛清单管理和海岛生态安全管控要求，加强对无居民海岛地形地貌、自然岸线等保护。</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ascii="仿宋_GB2312"/>
          <w:b w:val="0"/>
          <w:bCs w:val="0"/>
          <w:sz w:val="32"/>
          <w:szCs w:val="32"/>
          <w:u w:val="none"/>
        </w:rPr>
      </w:pPr>
      <w:r>
        <w:rPr>
          <w:rFonts w:hint="eastAsia" w:ascii="仿宋_GB2312"/>
          <w:b w:val="0"/>
          <w:bCs w:val="0"/>
          <w:sz w:val="32"/>
          <w:szCs w:val="32"/>
          <w:u w:val="none"/>
        </w:rPr>
        <w:t>适度利用海洋发展区无居民海岛。根据上级下达无居民海岛清单，珠海市纳入海洋发展区无居民海岛</w:t>
      </w:r>
      <w:r>
        <w:rPr>
          <w:rFonts w:hint="eastAsia"/>
          <w:b w:val="0"/>
          <w:bCs w:val="0"/>
          <w:sz w:val="32"/>
          <w:szCs w:val="32"/>
          <w:u w:val="none"/>
        </w:rPr>
        <w:t>55</w:t>
      </w:r>
      <w:r>
        <w:rPr>
          <w:rFonts w:hint="eastAsia" w:ascii="仿宋_GB2312"/>
          <w:b w:val="0"/>
          <w:bCs w:val="0"/>
          <w:sz w:val="32"/>
          <w:szCs w:val="32"/>
          <w:u w:val="none"/>
        </w:rPr>
        <w:t>个，其中</w:t>
      </w:r>
      <w:r>
        <w:rPr>
          <w:rFonts w:hint="eastAsia"/>
          <w:b w:val="0"/>
          <w:bCs w:val="0"/>
          <w:sz w:val="32"/>
          <w:szCs w:val="32"/>
          <w:u w:val="none"/>
        </w:rPr>
        <w:t>34</w:t>
      </w:r>
      <w:r>
        <w:rPr>
          <w:rFonts w:hint="eastAsia" w:ascii="仿宋_GB2312"/>
          <w:b w:val="0"/>
          <w:bCs w:val="0"/>
          <w:sz w:val="32"/>
          <w:szCs w:val="32"/>
          <w:u w:val="none"/>
        </w:rPr>
        <w:t>个明确主导功能的无居民海岛围绕海岛旅游、农林牧渔、交通运输、工矿通信等主导功能推动无居民海岛的保护利用，在不影响海岛主导功能的前提下，经论证可充分考虑兼容功能；</w:t>
      </w:r>
      <w:r>
        <w:rPr>
          <w:rFonts w:hint="eastAsia"/>
          <w:b w:val="0"/>
          <w:bCs w:val="0"/>
          <w:sz w:val="32"/>
          <w:szCs w:val="32"/>
          <w:u w:val="none"/>
        </w:rPr>
        <w:t>20</w:t>
      </w:r>
      <w:r>
        <w:rPr>
          <w:rFonts w:hint="eastAsia" w:ascii="仿宋_GB2312"/>
          <w:b w:val="0"/>
          <w:bCs w:val="0"/>
          <w:sz w:val="32"/>
          <w:szCs w:val="32"/>
          <w:u w:val="none"/>
        </w:rPr>
        <w:t>个未明确用岛功能，作为其他用岛，以战略留白为主；</w:t>
      </w:r>
      <w:r>
        <w:rPr>
          <w:rFonts w:hint="eastAsia"/>
          <w:b w:val="0"/>
          <w:bCs w:val="0"/>
          <w:sz w:val="32"/>
          <w:szCs w:val="32"/>
          <w:u w:val="none"/>
        </w:rPr>
        <w:t>1</w:t>
      </w:r>
      <w:r>
        <w:rPr>
          <w:rFonts w:hint="eastAsia" w:ascii="仿宋_GB2312"/>
          <w:b w:val="0"/>
          <w:bCs w:val="0"/>
          <w:sz w:val="32"/>
          <w:szCs w:val="32"/>
          <w:u w:val="none"/>
        </w:rPr>
        <w:t>个特殊用岛，优先保障国防安全和军事用岛需要。</w:t>
      </w:r>
    </w:p>
    <w:p>
      <w:pPr>
        <w:keepNext w:val="0"/>
        <w:keepLines w:val="0"/>
        <w:pageBreakBefore w:val="0"/>
        <w:widowControl w:val="0"/>
        <w:kinsoku/>
        <w:wordWrap/>
        <w:overflowPunct/>
        <w:topLinePunct w:val="0"/>
        <w:autoSpaceDE/>
        <w:autoSpaceDN/>
        <w:bidi w:val="0"/>
        <w:adjustRightInd/>
        <w:snapToGrid/>
        <w:spacing w:line="579" w:lineRule="exact"/>
        <w:ind w:firstLine="602"/>
        <w:textAlignment w:val="auto"/>
        <w:rPr>
          <w:rFonts w:hint="eastAsia"/>
          <w:b w:val="0"/>
          <w:bCs w:val="0"/>
          <w:sz w:val="32"/>
          <w:szCs w:val="32"/>
          <w:u w:val="none"/>
        </w:rPr>
      </w:pPr>
      <w:r>
        <w:rPr>
          <w:rFonts w:hint="eastAsia" w:ascii="仿宋_GB2312"/>
          <w:b w:val="0"/>
          <w:bCs w:val="0"/>
          <w:sz w:val="32"/>
          <w:szCs w:val="32"/>
          <w:u w:val="none"/>
        </w:rPr>
        <w:t>加强生态保护区无居民海岛保护。根据上级下达无居民海岛清单，珠海市纳入生态保护区海岛</w:t>
      </w:r>
      <w:r>
        <w:rPr>
          <w:rFonts w:hint="eastAsia"/>
          <w:b w:val="0"/>
          <w:bCs w:val="0"/>
          <w:sz w:val="32"/>
          <w:szCs w:val="32"/>
          <w:u w:val="none"/>
        </w:rPr>
        <w:t>197</w:t>
      </w:r>
      <w:r>
        <w:rPr>
          <w:rFonts w:hint="eastAsia" w:ascii="仿宋_GB2312"/>
          <w:b w:val="0"/>
          <w:bCs w:val="0"/>
          <w:sz w:val="32"/>
          <w:szCs w:val="32"/>
          <w:u w:val="none"/>
        </w:rPr>
        <w:t>个，按照生态保护红线相关管理办法及相关法律法规进行管理，除国家重大项目外，仅允许对生态功能不造成破坏的有限人为活动，禁止未经审批的海岛开发利用行为，详见专栏</w:t>
      </w:r>
      <w:r>
        <w:rPr>
          <w:b w:val="0"/>
          <w:bCs w:val="0"/>
          <w:sz w:val="32"/>
          <w:szCs w:val="32"/>
          <w:u w:val="none"/>
        </w:rPr>
        <w:t>13</w:t>
      </w:r>
      <w:r>
        <w:rPr>
          <w:rFonts w:ascii="仿宋_GB2312"/>
          <w:b w:val="0"/>
          <w:bCs w:val="0"/>
          <w:sz w:val="32"/>
          <w:szCs w:val="32"/>
          <w:u w:val="none"/>
        </w:rPr>
        <w:t>-</w:t>
      </w:r>
      <w:r>
        <w:rPr>
          <w:b w:val="0"/>
          <w:bCs w:val="0"/>
          <w:sz w:val="32"/>
          <w:szCs w:val="32"/>
          <w:u w:val="none"/>
        </w:rPr>
        <w:t>2</w:t>
      </w:r>
      <w:r>
        <w:rPr>
          <w:rFonts w:ascii="仿宋_GB2312"/>
          <w:b w:val="0"/>
          <w:bCs w:val="0"/>
          <w:sz w:val="32"/>
          <w:szCs w:val="32"/>
          <w:u w:val="none"/>
        </w:rPr>
        <w:t>。</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4410"/>
        <w:gridCol w:w="3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288" w:type="dxa"/>
            <w:gridSpan w:val="3"/>
            <w:shd w:val="clear" w:color="auto" w:fill="D9D9D9"/>
            <w:noWrap w:val="0"/>
            <w:vAlign w:val="center"/>
          </w:tcPr>
          <w:p>
            <w:pPr>
              <w:spacing w:before="46" w:after="46"/>
              <w:ind w:firstLine="0" w:firstLineChars="0"/>
              <w:jc w:val="center"/>
              <w:rPr>
                <w:rFonts w:hint="eastAsia"/>
                <w:b w:val="0"/>
                <w:bCs w:val="0"/>
                <w:u w:val="none"/>
              </w:rPr>
            </w:pPr>
            <w:r>
              <w:rPr>
                <w:rFonts w:hint="eastAsia" w:eastAsia="黑体" w:cs="Times New Roman"/>
                <w:b w:val="0"/>
                <w:bCs w:val="0"/>
                <w:kern w:val="0"/>
                <w:u w:val="none"/>
              </w:rPr>
              <w:t>专栏</w:t>
            </w:r>
            <w:r>
              <w:rPr>
                <w:rFonts w:eastAsia="黑体" w:cs="Times New Roman"/>
                <w:b w:val="0"/>
                <w:bCs w:val="0"/>
                <w:kern w:val="0"/>
                <w:u w:val="none"/>
              </w:rPr>
              <w:t>13-2：</w:t>
            </w:r>
            <w:r>
              <w:rPr>
                <w:rFonts w:hint="eastAsia" w:eastAsia="黑体" w:cs="Times New Roman"/>
                <w:b w:val="0"/>
                <w:bCs w:val="0"/>
                <w:kern w:val="0"/>
                <w:u w:val="none"/>
              </w:rPr>
              <w:t xml:space="preserve"> 海洋发展区无居民海岛保护利用管控指引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176" w:type="dxa"/>
            <w:noWrap w:val="0"/>
            <w:vAlign w:val="center"/>
          </w:tcPr>
          <w:p>
            <w:pPr>
              <w:pStyle w:val="8"/>
              <w:jc w:val="both"/>
              <w:rPr>
                <w:b w:val="0"/>
                <w:bCs w:val="0"/>
                <w:u w:val="none"/>
              </w:rPr>
            </w:pPr>
            <w:r>
              <w:rPr>
                <w:rFonts w:hint="eastAsia"/>
                <w:b w:val="0"/>
                <w:bCs w:val="0"/>
                <w:u w:val="none"/>
              </w:rPr>
              <w:t>主导功能</w:t>
            </w:r>
          </w:p>
        </w:tc>
        <w:tc>
          <w:tcPr>
            <w:tcW w:w="4410" w:type="dxa"/>
            <w:noWrap w:val="0"/>
            <w:vAlign w:val="center"/>
          </w:tcPr>
          <w:p>
            <w:pPr>
              <w:pStyle w:val="8"/>
              <w:ind w:firstLine="400"/>
              <w:rPr>
                <w:b w:val="0"/>
                <w:bCs w:val="0"/>
                <w:u w:val="none"/>
              </w:rPr>
            </w:pPr>
            <w:r>
              <w:rPr>
                <w:rFonts w:hint="eastAsia"/>
                <w:b w:val="0"/>
                <w:bCs w:val="0"/>
                <w:u w:val="none"/>
              </w:rPr>
              <w:t>无居民海岛名录</w:t>
            </w:r>
          </w:p>
        </w:tc>
        <w:tc>
          <w:tcPr>
            <w:tcW w:w="3702" w:type="dxa"/>
            <w:noWrap w:val="0"/>
            <w:vAlign w:val="center"/>
          </w:tcPr>
          <w:p>
            <w:pPr>
              <w:pStyle w:val="8"/>
              <w:ind w:firstLine="400"/>
              <w:rPr>
                <w:b w:val="0"/>
                <w:bCs w:val="0"/>
                <w:u w:val="none"/>
              </w:rPr>
            </w:pPr>
            <w:r>
              <w:rPr>
                <w:rFonts w:hint="eastAsia"/>
                <w:b w:val="0"/>
                <w:bCs w:val="0"/>
                <w:u w:val="none"/>
              </w:rPr>
              <w:t>保护利用管控指引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176" w:type="dxa"/>
            <w:noWrap w:val="0"/>
            <w:vAlign w:val="center"/>
          </w:tcPr>
          <w:p>
            <w:pPr>
              <w:pStyle w:val="8"/>
              <w:jc w:val="both"/>
              <w:rPr>
                <w:b w:val="0"/>
                <w:bCs w:val="0"/>
                <w:u w:val="none"/>
              </w:rPr>
            </w:pPr>
            <w:r>
              <w:rPr>
                <w:rFonts w:hint="eastAsia"/>
                <w:b w:val="0"/>
                <w:bCs w:val="0"/>
                <w:u w:val="none"/>
              </w:rPr>
              <w:t>游憩用岛</w:t>
            </w:r>
          </w:p>
        </w:tc>
        <w:tc>
          <w:tcPr>
            <w:tcW w:w="4410" w:type="dxa"/>
            <w:noWrap w:val="0"/>
            <w:vAlign w:val="center"/>
          </w:tcPr>
          <w:p>
            <w:pPr>
              <w:pStyle w:val="8"/>
              <w:jc w:val="left"/>
              <w:rPr>
                <w:b w:val="0"/>
                <w:bCs w:val="0"/>
                <w:u w:val="none"/>
              </w:rPr>
            </w:pPr>
            <w:r>
              <w:rPr>
                <w:rFonts w:hint="eastAsia"/>
                <w:b w:val="0"/>
                <w:bCs w:val="0"/>
                <w:u w:val="none"/>
              </w:rPr>
              <w:t>蚝田岛、大九洲、横山岛、野狸岛、珠海渔女岛、大三洲、小三洲、大牙排、大蜘洲、三角岛、小蜘洲、珠海青洲、小蒲台、小万山岛、珠海黄茅岛、竹洲、白沥岛、横岗岛、三门岛、头鲈洲仔、圆岗岛、庙湾岛、大头洲</w:t>
            </w:r>
          </w:p>
        </w:tc>
        <w:tc>
          <w:tcPr>
            <w:tcW w:w="3702" w:type="dxa"/>
            <w:noWrap w:val="0"/>
            <w:vAlign w:val="center"/>
          </w:tcPr>
          <w:p>
            <w:pPr>
              <w:pStyle w:val="61"/>
              <w:ind w:firstLine="0" w:firstLineChars="0"/>
              <w:rPr>
                <w:b w:val="0"/>
                <w:bCs w:val="0"/>
                <w:u w:val="none"/>
              </w:rPr>
            </w:pPr>
            <w:r>
              <w:rPr>
                <w:rFonts w:hint="eastAsia"/>
                <w:b w:val="0"/>
                <w:bCs w:val="0"/>
                <w:u w:val="none"/>
              </w:rPr>
              <w:t>应坚持规划先行，合理确定旅游容量，加强开发强度管控，避免造成对无居民海岛旅游资源的破坏，规划形成岛群联动、一岛一特色、多岛互补的开发利用格局。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176" w:type="dxa"/>
            <w:noWrap w:val="0"/>
            <w:vAlign w:val="center"/>
          </w:tcPr>
          <w:p>
            <w:pPr>
              <w:pStyle w:val="8"/>
              <w:jc w:val="both"/>
              <w:rPr>
                <w:b w:val="0"/>
                <w:bCs w:val="0"/>
                <w:u w:val="none"/>
              </w:rPr>
            </w:pPr>
            <w:r>
              <w:rPr>
                <w:rFonts w:hint="eastAsia"/>
                <w:b w:val="0"/>
                <w:bCs w:val="0"/>
                <w:u w:val="none"/>
              </w:rPr>
              <w:t>农林牧渔用岛</w:t>
            </w:r>
          </w:p>
        </w:tc>
        <w:tc>
          <w:tcPr>
            <w:tcW w:w="4410" w:type="dxa"/>
            <w:noWrap w:val="0"/>
            <w:vAlign w:val="center"/>
          </w:tcPr>
          <w:p>
            <w:pPr>
              <w:pStyle w:val="8"/>
              <w:jc w:val="left"/>
              <w:rPr>
                <w:b w:val="0"/>
                <w:bCs w:val="0"/>
                <w:u w:val="none"/>
              </w:rPr>
            </w:pPr>
            <w:r>
              <w:rPr>
                <w:rFonts w:hint="eastAsia"/>
                <w:b w:val="0"/>
                <w:bCs w:val="0"/>
                <w:u w:val="none"/>
              </w:rPr>
              <w:t>大岗岛、交杯岛、蚊洲、小青洲、獭洲、竹湾头岛</w:t>
            </w:r>
          </w:p>
        </w:tc>
        <w:tc>
          <w:tcPr>
            <w:tcW w:w="3702" w:type="dxa"/>
            <w:noWrap w:val="0"/>
            <w:vAlign w:val="center"/>
          </w:tcPr>
          <w:p>
            <w:pPr>
              <w:pStyle w:val="61"/>
              <w:ind w:firstLine="0" w:firstLineChars="0"/>
              <w:rPr>
                <w:b w:val="0"/>
                <w:bCs w:val="0"/>
                <w:u w:val="none"/>
              </w:rPr>
            </w:pPr>
            <w:r>
              <w:rPr>
                <w:rFonts w:hint="eastAsia"/>
                <w:b w:val="0"/>
                <w:bCs w:val="0"/>
                <w:u w:val="none"/>
              </w:rPr>
              <w:t>应合理控制农林牧渔资源开发利用规模，重点加强渔业基础设施保障，提高渔业生产效率。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176" w:type="dxa"/>
            <w:noWrap w:val="0"/>
            <w:vAlign w:val="center"/>
          </w:tcPr>
          <w:p>
            <w:pPr>
              <w:pStyle w:val="8"/>
              <w:jc w:val="both"/>
              <w:rPr>
                <w:b w:val="0"/>
                <w:bCs w:val="0"/>
                <w:u w:val="none"/>
              </w:rPr>
            </w:pPr>
            <w:r>
              <w:rPr>
                <w:rFonts w:hint="eastAsia"/>
                <w:b w:val="0"/>
                <w:bCs w:val="0"/>
                <w:u w:val="none"/>
              </w:rPr>
              <w:t>交通运输用岛</w:t>
            </w:r>
          </w:p>
        </w:tc>
        <w:tc>
          <w:tcPr>
            <w:tcW w:w="4410" w:type="dxa"/>
            <w:noWrap w:val="0"/>
            <w:vAlign w:val="center"/>
          </w:tcPr>
          <w:p>
            <w:pPr>
              <w:pStyle w:val="8"/>
              <w:jc w:val="left"/>
              <w:rPr>
                <w:b w:val="0"/>
                <w:bCs w:val="0"/>
                <w:u w:val="none"/>
              </w:rPr>
            </w:pPr>
            <w:r>
              <w:rPr>
                <w:rFonts w:hint="eastAsia"/>
                <w:b w:val="0"/>
                <w:bCs w:val="0"/>
                <w:u w:val="none"/>
              </w:rPr>
              <w:t>横沥岛、杧仔岛、三角山岛</w:t>
            </w:r>
          </w:p>
        </w:tc>
        <w:tc>
          <w:tcPr>
            <w:tcW w:w="3702" w:type="dxa"/>
            <w:noWrap w:val="0"/>
            <w:vAlign w:val="center"/>
          </w:tcPr>
          <w:p>
            <w:pPr>
              <w:pStyle w:val="61"/>
              <w:ind w:firstLine="0" w:firstLineChars="0"/>
              <w:rPr>
                <w:b w:val="0"/>
                <w:bCs w:val="0"/>
                <w:u w:val="none"/>
              </w:rPr>
            </w:pPr>
            <w:r>
              <w:rPr>
                <w:rFonts w:hint="eastAsia"/>
                <w:b w:val="0"/>
                <w:bCs w:val="0"/>
                <w:u w:val="none"/>
              </w:rPr>
              <w:t>应坚持岸线集约高效利用、深水深用，提升污染应急防治水平，加强船舶溢油事故、化学品泄漏或爆炸事故等监测观测。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176" w:type="dxa"/>
            <w:noWrap w:val="0"/>
            <w:vAlign w:val="center"/>
          </w:tcPr>
          <w:p>
            <w:pPr>
              <w:pStyle w:val="8"/>
              <w:jc w:val="both"/>
              <w:rPr>
                <w:b w:val="0"/>
                <w:bCs w:val="0"/>
                <w:u w:val="none"/>
              </w:rPr>
            </w:pPr>
            <w:r>
              <w:rPr>
                <w:rFonts w:hint="eastAsia"/>
                <w:b w:val="0"/>
                <w:bCs w:val="0"/>
                <w:u w:val="none"/>
              </w:rPr>
              <w:t>工矿通信用岛</w:t>
            </w:r>
          </w:p>
        </w:tc>
        <w:tc>
          <w:tcPr>
            <w:tcW w:w="4410" w:type="dxa"/>
            <w:noWrap w:val="0"/>
            <w:vAlign w:val="center"/>
          </w:tcPr>
          <w:p>
            <w:pPr>
              <w:pStyle w:val="8"/>
              <w:jc w:val="left"/>
              <w:rPr>
                <w:b w:val="0"/>
                <w:bCs w:val="0"/>
                <w:u w:val="none"/>
              </w:rPr>
            </w:pPr>
            <w:r>
              <w:rPr>
                <w:rFonts w:hint="eastAsia"/>
                <w:b w:val="0"/>
                <w:bCs w:val="0"/>
                <w:u w:val="none"/>
              </w:rPr>
              <w:t>牛头岛、直湾岛</w:t>
            </w:r>
          </w:p>
        </w:tc>
        <w:tc>
          <w:tcPr>
            <w:tcW w:w="3702" w:type="dxa"/>
            <w:noWrap w:val="0"/>
            <w:vAlign w:val="center"/>
          </w:tcPr>
          <w:p>
            <w:pPr>
              <w:pStyle w:val="61"/>
              <w:ind w:firstLine="0" w:firstLineChars="0"/>
              <w:rPr>
                <w:b w:val="0"/>
                <w:bCs w:val="0"/>
                <w:u w:val="none"/>
              </w:rPr>
            </w:pPr>
            <w:r>
              <w:rPr>
                <w:rFonts w:hint="eastAsia"/>
                <w:b w:val="0"/>
                <w:bCs w:val="0"/>
                <w:u w:val="none"/>
              </w:rPr>
              <w:t>应严格产业项目准入，严控不符合国家和地方各项规范要求的产业项目或有可能对海岛及海域生态环境造成不可逆转性影响的粗放型产业项目，科学开展生产项目选址布局，限制敞开式仓储模式。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176" w:type="dxa"/>
            <w:noWrap w:val="0"/>
            <w:vAlign w:val="center"/>
          </w:tcPr>
          <w:p>
            <w:pPr>
              <w:pStyle w:val="8"/>
              <w:jc w:val="both"/>
              <w:rPr>
                <w:b w:val="0"/>
                <w:bCs w:val="0"/>
                <w:u w:val="none"/>
              </w:rPr>
            </w:pPr>
            <w:r>
              <w:rPr>
                <w:rFonts w:hint="eastAsia"/>
                <w:b w:val="0"/>
                <w:bCs w:val="0"/>
                <w:u w:val="none"/>
              </w:rPr>
              <w:t>其他用岛</w:t>
            </w:r>
          </w:p>
        </w:tc>
        <w:tc>
          <w:tcPr>
            <w:tcW w:w="4410" w:type="dxa"/>
            <w:noWrap w:val="0"/>
            <w:vAlign w:val="center"/>
          </w:tcPr>
          <w:p>
            <w:pPr>
              <w:pStyle w:val="8"/>
              <w:jc w:val="left"/>
              <w:rPr>
                <w:b w:val="0"/>
                <w:bCs w:val="0"/>
                <w:u w:val="none"/>
              </w:rPr>
            </w:pPr>
            <w:r>
              <w:rPr>
                <w:rFonts w:hint="eastAsia"/>
                <w:b w:val="0"/>
                <w:bCs w:val="0"/>
                <w:u w:val="none"/>
              </w:rPr>
              <w:t>金星胆、小白排岛、鸡笼岛、铁针、海獭洲、东石礁、珠海洲仔岛、穿窿岛、马鬃岛、二岗岛、小黄麻洲、黄麻洲、马鞍排岛、草鞋排岛、三牙石岛、圆洲岛、蚊洲仔、榕树头岛、白排岛、蚊尾洲</w:t>
            </w:r>
          </w:p>
        </w:tc>
        <w:tc>
          <w:tcPr>
            <w:tcW w:w="3702" w:type="dxa"/>
            <w:noWrap w:val="0"/>
            <w:vAlign w:val="center"/>
          </w:tcPr>
          <w:p>
            <w:pPr>
              <w:pStyle w:val="61"/>
              <w:ind w:firstLine="0" w:firstLineChars="0"/>
              <w:rPr>
                <w:b w:val="0"/>
                <w:bCs w:val="0"/>
                <w:u w:val="none"/>
              </w:rPr>
            </w:pPr>
            <w:r>
              <w:rPr>
                <w:rFonts w:hint="eastAsia"/>
                <w:b w:val="0"/>
                <w:bCs w:val="0"/>
                <w:u w:val="none"/>
              </w:rPr>
              <w:t>战略留白期间，禁止改变海岛自然属性，在开发利用前应充分进行功能定位论证分析并参考具体各类功能海岛的开发管控要求进行保护与利用。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176" w:type="dxa"/>
            <w:noWrap w:val="0"/>
            <w:vAlign w:val="center"/>
          </w:tcPr>
          <w:p>
            <w:pPr>
              <w:pStyle w:val="8"/>
              <w:jc w:val="both"/>
              <w:rPr>
                <w:b w:val="0"/>
                <w:bCs w:val="0"/>
                <w:u w:val="none"/>
              </w:rPr>
            </w:pPr>
            <w:r>
              <w:rPr>
                <w:rFonts w:hint="eastAsia"/>
                <w:b w:val="0"/>
                <w:bCs w:val="0"/>
                <w:u w:val="none"/>
              </w:rPr>
              <w:t>特殊用岛</w:t>
            </w:r>
          </w:p>
        </w:tc>
        <w:tc>
          <w:tcPr>
            <w:tcW w:w="4410" w:type="dxa"/>
            <w:noWrap w:val="0"/>
            <w:vAlign w:val="center"/>
          </w:tcPr>
          <w:p>
            <w:pPr>
              <w:pStyle w:val="8"/>
              <w:jc w:val="left"/>
              <w:rPr>
                <w:b w:val="0"/>
                <w:bCs w:val="0"/>
                <w:u w:val="none"/>
              </w:rPr>
            </w:pPr>
            <w:r>
              <w:rPr>
                <w:rFonts w:hint="eastAsia"/>
                <w:b w:val="0"/>
                <w:bCs w:val="0"/>
                <w:u w:val="none"/>
              </w:rPr>
              <w:t>赤鼻岛</w:t>
            </w:r>
          </w:p>
        </w:tc>
        <w:tc>
          <w:tcPr>
            <w:tcW w:w="3702" w:type="dxa"/>
            <w:noWrap w:val="0"/>
            <w:vAlign w:val="center"/>
          </w:tcPr>
          <w:p>
            <w:pPr>
              <w:pStyle w:val="61"/>
              <w:ind w:firstLine="0" w:firstLineChars="0"/>
              <w:rPr>
                <w:b w:val="0"/>
                <w:bCs w:val="0"/>
                <w:u w:val="none"/>
              </w:rPr>
            </w:pPr>
            <w:r>
              <w:rPr>
                <w:rFonts w:hint="eastAsia"/>
                <w:b w:val="0"/>
                <w:bCs w:val="0"/>
                <w:u w:val="none"/>
              </w:rPr>
              <w:t>优先保障国防安全和军事用岛需要，加强生态保护与活动控制</w:t>
            </w:r>
          </w:p>
        </w:tc>
      </w:tr>
    </w:tbl>
    <w:p>
      <w:pPr>
        <w:pStyle w:val="85"/>
        <w:keepNext w:val="0"/>
        <w:keepLines w:val="0"/>
        <w:pageBreakBefore w:val="0"/>
        <w:widowControl w:val="0"/>
        <w:tabs>
          <w:tab w:val="left" w:pos="0"/>
          <w:tab w:val="clear" w:pos="420"/>
        </w:tabs>
        <w:kinsoku/>
        <w:wordWrap/>
        <w:overflowPunct/>
        <w:topLinePunct w:val="0"/>
        <w:autoSpaceDE/>
        <w:autoSpaceDN/>
        <w:bidi w:val="0"/>
        <w:adjustRightInd/>
        <w:snapToGrid/>
        <w:spacing w:before="0" w:beforeLines="0" w:after="0" w:afterLines="0" w:line="579" w:lineRule="exact"/>
        <w:ind w:left="198" w:leftChars="0" w:firstLine="0" w:firstLineChars="0"/>
        <w:textAlignment w:val="auto"/>
        <w:rPr>
          <w:rFonts w:hint="eastAsia"/>
          <w:b w:val="0"/>
          <w:bCs w:val="0"/>
          <w:sz w:val="32"/>
          <w:szCs w:val="32"/>
          <w:u w:val="none"/>
          <w:lang w:val="en-US"/>
        </w:rPr>
      </w:pPr>
      <w:bookmarkStart w:id="336" w:name="_Toc6186"/>
      <w:r>
        <w:rPr>
          <w:rFonts w:hint="eastAsia"/>
          <w:b w:val="0"/>
          <w:bCs w:val="0"/>
          <w:sz w:val="32"/>
          <w:szCs w:val="32"/>
          <w:u w:val="none"/>
          <w:lang w:val="en-US"/>
        </w:rPr>
        <w:t>加强海洋生态保护管控</w:t>
      </w:r>
      <w:bookmarkEnd w:id="336"/>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b w:val="0"/>
          <w:bCs w:val="0"/>
          <w:sz w:val="32"/>
          <w:szCs w:val="32"/>
          <w:u w:val="none"/>
        </w:rPr>
      </w:pPr>
      <w:r>
        <w:rPr>
          <w:rFonts w:hint="eastAsia"/>
          <w:b w:val="0"/>
          <w:bCs w:val="0"/>
          <w:sz w:val="32"/>
          <w:szCs w:val="32"/>
          <w:u w:val="none"/>
        </w:rPr>
        <w:t>构建以海洋生态保护红线为底线、以自然保护地体系为重点的海洋生态保护管控格局，打造粤港澳大湾区海洋生态保护屏障。严格落实海洋生态保护红线管控要求，加强红树林、珊瑚礁、特别保护海岛、珍稀濒危物种分布区、重要河口、海岸防护物理防护极重要区、重要滩涂及浅海水域、重要渔业资源产卵场等海洋生态资源保护，加快处理围填海历史遗留问题，严控新增围填海造地，确保海洋生态保护红线面积不减少。加强广东珠江口中华白海豚国家级自然保护区、珠海淇澳</w:t>
      </w:r>
      <w:r>
        <w:rPr>
          <w:rFonts w:hint="eastAsia"/>
          <w:b w:val="0"/>
          <w:bCs w:val="0"/>
          <w:sz w:val="32"/>
          <w:szCs w:val="32"/>
          <w:u w:val="none"/>
          <w:lang w:val="en-US" w:eastAsia="zh-CN"/>
        </w:rPr>
        <w:t>-</w:t>
      </w:r>
      <w:r>
        <w:rPr>
          <w:rFonts w:hint="eastAsia"/>
          <w:b w:val="0"/>
          <w:bCs w:val="0"/>
          <w:sz w:val="32"/>
          <w:szCs w:val="32"/>
          <w:u w:val="none"/>
        </w:rPr>
        <w:t>担杆岛自然保护区、珠海万山庙湾珊瑚自然保护区以及珠海万山群岛自然保护区四大海洋海岛自然保护区建设，逐步建立类型多样、布局合理、功能完善的海洋保护区体系，推动建设高质量珠江口自然保护地群。</w:t>
      </w:r>
    </w:p>
    <w:p>
      <w:pPr>
        <w:pStyle w:val="85"/>
        <w:keepNext w:val="0"/>
        <w:keepLines w:val="0"/>
        <w:pageBreakBefore w:val="0"/>
        <w:widowControl w:val="0"/>
        <w:tabs>
          <w:tab w:val="left" w:pos="0"/>
          <w:tab w:val="clear" w:pos="420"/>
        </w:tabs>
        <w:kinsoku/>
        <w:wordWrap/>
        <w:overflowPunct/>
        <w:topLinePunct w:val="0"/>
        <w:autoSpaceDE/>
        <w:autoSpaceDN/>
        <w:bidi w:val="0"/>
        <w:adjustRightInd/>
        <w:snapToGrid/>
        <w:spacing w:before="0" w:beforeLines="0" w:after="0" w:afterLines="0" w:line="579" w:lineRule="exact"/>
        <w:ind w:left="198" w:leftChars="0" w:firstLine="0" w:firstLineChars="0"/>
        <w:textAlignment w:val="auto"/>
        <w:rPr>
          <w:b w:val="0"/>
          <w:bCs w:val="0"/>
          <w:sz w:val="32"/>
          <w:szCs w:val="32"/>
          <w:u w:val="none"/>
          <w:lang w:val="en-US"/>
        </w:rPr>
      </w:pPr>
      <w:bookmarkStart w:id="337" w:name="_Toc23093"/>
      <w:r>
        <w:rPr>
          <w:rFonts w:hint="eastAsia"/>
          <w:b w:val="0"/>
          <w:bCs w:val="0"/>
          <w:sz w:val="32"/>
          <w:szCs w:val="32"/>
          <w:u w:val="none"/>
          <w:lang w:val="en-US"/>
        </w:rPr>
        <w:t>壮大发展海洋产业</w:t>
      </w:r>
      <w:bookmarkEnd w:id="337"/>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建设具有区域核心竞争力的“</w:t>
      </w:r>
      <w:r>
        <w:rPr>
          <w:rFonts w:hint="eastAsia"/>
          <w:b w:val="0"/>
          <w:bCs w:val="0"/>
          <w:sz w:val="32"/>
          <w:szCs w:val="32"/>
          <w:u w:val="none"/>
        </w:rPr>
        <w:t>442</w:t>
      </w:r>
      <w:r>
        <w:rPr>
          <w:rFonts w:hint="eastAsia" w:ascii="仿宋_GB2312"/>
          <w:b w:val="0"/>
          <w:bCs w:val="0"/>
          <w:sz w:val="32"/>
          <w:szCs w:val="32"/>
          <w:u w:val="none"/>
        </w:rPr>
        <w:t>”海洋产业集群，包括海洋高端装备、海洋生物、海洋新能源、海水综合利用业等四大海洋新兴产业，现代海洋渔业、滨海旅游、海洋油气化工、海洋交通运输业等四大海洋优势产业和海洋金融、航运服务两大海洋高端服务业。各区错位协作共建海洋经济示范区，香洲区加快发展海洋总部经济和现代服务业，建设情侣路美丽滨海活力带；金湾区依托高栏港、平沙游艇产业园，做优做强海洋高端装备制造业、海洋交通搞运输业，打造海洋高端装备制造基地和国际一流港口物流中心；高新区依托香山海洋科技港、南方海洋科学与工程广东省实验室（珠海）等平台和载体，打造海洋创新驱动发展战略主阵地；鹤洲新区（筹）充分发挥深水资源优势，加快建设国家海洋综合试验场（珠海），支持配合服务好横琴粤澳深度合作区，建设海洋高质量发展示范基地。</w:t>
      </w:r>
    </w:p>
    <w:p>
      <w:pPr>
        <w:ind w:firstLine="600"/>
        <w:rPr>
          <w:rFonts w:ascii="仿宋_GB2312"/>
          <w:b w:val="0"/>
          <w:bCs w:val="0"/>
          <w:sz w:val="32"/>
          <w:szCs w:val="32"/>
          <w:u w:val="none"/>
        </w:rPr>
        <w:sectPr>
          <w:pgSz w:w="11906" w:h="16838"/>
          <w:pgMar w:top="2041" w:right="1531" w:bottom="2041" w:left="1531" w:header="851" w:footer="1531" w:gutter="0"/>
          <w:paperSrc/>
          <w:pgNumType w:fmt="decimal"/>
          <w:cols w:space="720" w:num="1"/>
          <w:rtlGutter w:val="0"/>
          <w:docGrid w:type="linesAndChars" w:linePitch="607" w:charSpace="0"/>
        </w:sectPr>
      </w:pPr>
    </w:p>
    <w:p>
      <w:pPr>
        <w:pStyle w:val="3"/>
        <w:keepNext w:val="0"/>
        <w:keepLines w:val="0"/>
        <w:pageBreakBefore w:val="0"/>
        <w:widowControl w:val="0"/>
        <w:kinsoku/>
        <w:wordWrap/>
        <w:overflowPunct/>
        <w:topLinePunct w:val="0"/>
        <w:autoSpaceDE/>
        <w:autoSpaceDN/>
        <w:bidi w:val="0"/>
        <w:adjustRightInd/>
        <w:snapToGrid w:val="0"/>
        <w:spacing w:before="0" w:beforeLines="0" w:after="0" w:afterLines="0" w:line="579" w:lineRule="exact"/>
        <w:textAlignment w:val="auto"/>
        <w:rPr>
          <w:rFonts w:hint="eastAsia" w:ascii="方正小标宋简体" w:hAnsi="方正小标宋简体" w:eastAsia="方正小标宋简体" w:cs="方正小标宋简体"/>
          <w:b w:val="0"/>
          <w:bCs w:val="0"/>
          <w:sz w:val="44"/>
          <w:szCs w:val="44"/>
          <w:u w:val="none"/>
        </w:rPr>
      </w:pPr>
      <w:bookmarkStart w:id="338" w:name="_Toc15994"/>
      <w:r>
        <w:rPr>
          <w:rFonts w:hint="eastAsia" w:ascii="方正小标宋简体" w:hAnsi="方正小标宋简体" w:eastAsia="方正小标宋简体" w:cs="方正小标宋简体"/>
          <w:b w:val="0"/>
          <w:bCs w:val="0"/>
          <w:sz w:val="44"/>
          <w:szCs w:val="44"/>
          <w:u w:val="none"/>
        </w:rPr>
        <w:t>区域协同</w:t>
      </w:r>
      <w:bookmarkEnd w:id="338"/>
    </w:p>
    <w:p>
      <w:pPr>
        <w:rPr>
          <w:rFonts w:hint="eastAsia"/>
          <w:b w:val="0"/>
          <w:bCs w:val="0"/>
        </w:rPr>
      </w:pPr>
    </w:p>
    <w:p>
      <w:pPr>
        <w:pStyle w:val="85"/>
        <w:keepNext w:val="0"/>
        <w:keepLines w:val="0"/>
        <w:pageBreakBefore w:val="0"/>
        <w:widowControl w:val="0"/>
        <w:tabs>
          <w:tab w:val="left" w:pos="0"/>
          <w:tab w:val="clear" w:pos="420"/>
        </w:tabs>
        <w:kinsoku/>
        <w:wordWrap/>
        <w:overflowPunct/>
        <w:topLinePunct w:val="0"/>
        <w:autoSpaceDE/>
        <w:autoSpaceDN/>
        <w:bidi w:val="0"/>
        <w:adjustRightInd/>
        <w:snapToGrid w:val="0"/>
        <w:spacing w:before="0" w:beforeLines="0" w:after="0" w:afterLines="0" w:line="579" w:lineRule="exact"/>
        <w:ind w:left="198" w:leftChars="0" w:firstLine="0" w:firstLineChars="0"/>
        <w:textAlignment w:val="auto"/>
        <w:rPr>
          <w:rFonts w:hint="eastAsia"/>
          <w:b w:val="0"/>
          <w:bCs w:val="0"/>
          <w:sz w:val="32"/>
          <w:szCs w:val="32"/>
          <w:u w:val="none"/>
          <w:lang w:val="en-US"/>
        </w:rPr>
      </w:pPr>
      <w:bookmarkStart w:id="339" w:name="_Toc25578"/>
      <w:r>
        <w:rPr>
          <w:rFonts w:hint="eastAsia"/>
          <w:b w:val="0"/>
          <w:bCs w:val="0"/>
          <w:sz w:val="32"/>
          <w:szCs w:val="32"/>
          <w:u w:val="none"/>
          <w:lang w:val="en-US"/>
        </w:rPr>
        <w:t>促进澳珠深度合作</w:t>
      </w:r>
      <w:bookmarkEnd w:id="339"/>
    </w:p>
    <w:p>
      <w:pPr>
        <w:keepNext w:val="0"/>
        <w:keepLines w:val="0"/>
        <w:pageBreakBefore w:val="0"/>
        <w:widowControl w:val="0"/>
        <w:kinsoku/>
        <w:wordWrap/>
        <w:overflowPunct/>
        <w:topLinePunct w:val="0"/>
        <w:autoSpaceDE/>
        <w:autoSpaceDN/>
        <w:bidi w:val="0"/>
        <w:adjustRightInd/>
        <w:snapToGrid w:val="0"/>
        <w:spacing w:line="579" w:lineRule="exact"/>
        <w:ind w:firstLine="602"/>
        <w:textAlignment w:val="auto"/>
        <w:rPr>
          <w:rFonts w:hint="eastAsia"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共建国内国际双循环战略支点。推动珠海与澳门优势互补、能级倍增，打造新发展格局的重要战略支点。紧紧围绕促进澳门经济适度多元发展的主线，全力支持服务横琴粤澳深度合作区实现“促进澳门经济适度多元发展的新平台、便利澳门居民生活就业的新空间、丰富‘一国两制’实践的新示范以及推动粤港澳大湾区建设的新高地”的战略定位；完成“发展促进澳门经济适度多元发展的‘新产业’、建设便利澳门居民生活就业的‘新家园’、构建与澳门一体化高水平开放的‘新体系’和支持建立粤澳共商共建共管共享的‘新体制’”重点任务。</w:t>
      </w:r>
    </w:p>
    <w:p>
      <w:pPr>
        <w:keepNext w:val="0"/>
        <w:keepLines w:val="0"/>
        <w:pageBreakBefore w:val="0"/>
        <w:widowControl w:val="0"/>
        <w:kinsoku/>
        <w:wordWrap/>
        <w:overflowPunct/>
        <w:topLinePunct w:val="0"/>
        <w:autoSpaceDE/>
        <w:autoSpaceDN/>
        <w:bidi w:val="0"/>
        <w:adjustRightInd/>
        <w:snapToGrid w:val="0"/>
        <w:spacing w:line="579" w:lineRule="exact"/>
        <w:ind w:firstLine="602"/>
        <w:textAlignment w:val="auto"/>
        <w:rPr>
          <w:rFonts w:hint="eastAsia" w:ascii="仿宋_GB2312" w:hAnsi="仿宋" w:cs="Times New Roman"/>
          <w:b w:val="0"/>
          <w:bCs w:val="0"/>
          <w:spacing w:val="-6"/>
          <w:kern w:val="0"/>
          <w:sz w:val="32"/>
          <w:szCs w:val="32"/>
          <w:u w:val="none"/>
        </w:rPr>
      </w:pPr>
      <w:r>
        <w:rPr>
          <w:rFonts w:hint="eastAsia" w:ascii="仿宋_GB2312" w:hAnsi="仿宋" w:cs="Times New Roman"/>
          <w:b w:val="0"/>
          <w:bCs w:val="0"/>
          <w:spacing w:val="-6"/>
          <w:kern w:val="0"/>
          <w:sz w:val="32"/>
          <w:szCs w:val="32"/>
          <w:u w:val="none"/>
        </w:rPr>
        <w:t>加强海陆空口岸门户地区合作。推进珠海机场、港口、高铁、高速公路等区域交通设施建设和提升，支撑澳门融入</w:t>
      </w:r>
      <w:r>
        <w:rPr>
          <w:rFonts w:hint="eastAsia"/>
          <w:b w:val="0"/>
          <w:bCs w:val="0"/>
          <w:spacing w:val="-6"/>
          <w:sz w:val="32"/>
          <w:szCs w:val="32"/>
          <w:u w:val="none"/>
        </w:rPr>
        <w:t>国家</w:t>
      </w:r>
      <w:r>
        <w:rPr>
          <w:rFonts w:hint="eastAsia" w:ascii="仿宋_GB2312" w:hAnsi="仿宋" w:cs="Times New Roman"/>
          <w:b w:val="0"/>
          <w:bCs w:val="0"/>
          <w:spacing w:val="-6"/>
          <w:kern w:val="0"/>
          <w:sz w:val="32"/>
          <w:szCs w:val="32"/>
          <w:u w:val="none"/>
        </w:rPr>
        <w:t>高铁网络，加强与澳门及横琴粤澳深度合作区的通道联系，共同争取城市轨道建设，优化珠澳口岸功能分工，实现珠澳海陆空交通设施系统的立体化联络。实行“货物‘一线’放开、‘二线’管住，人员进出高度便利”，以二线查验设施为基础，构建高铁、城际、城市轨道、骨干路网、客运码头多层次衔接的交通体系，全力保障横琴粤澳深度合作区对外交通衔接。</w:t>
      </w:r>
    </w:p>
    <w:p>
      <w:pPr>
        <w:keepNext w:val="0"/>
        <w:keepLines w:val="0"/>
        <w:pageBreakBefore w:val="0"/>
        <w:widowControl w:val="0"/>
        <w:kinsoku/>
        <w:wordWrap/>
        <w:overflowPunct/>
        <w:topLinePunct w:val="0"/>
        <w:autoSpaceDE/>
        <w:autoSpaceDN/>
        <w:bidi w:val="0"/>
        <w:adjustRightInd/>
        <w:snapToGrid w:val="0"/>
        <w:spacing w:line="579" w:lineRule="exact"/>
        <w:ind w:firstLine="602"/>
        <w:textAlignment w:val="auto"/>
        <w:rPr>
          <w:rFonts w:hint="eastAsia"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实现全方位协同发展。充分发挥“洪保十”地区与</w:t>
      </w:r>
      <w:r>
        <w:rPr>
          <w:rFonts w:hint="eastAsia"/>
          <w:b w:val="0"/>
          <w:bCs w:val="0"/>
          <w:sz w:val="32"/>
          <w:szCs w:val="32"/>
          <w:u w:val="none"/>
        </w:rPr>
        <w:t>澳门</w:t>
      </w:r>
      <w:r>
        <w:rPr>
          <w:rFonts w:hint="eastAsia" w:ascii="仿宋_GB2312" w:hAnsi="仿宋" w:cs="Times New Roman"/>
          <w:b w:val="0"/>
          <w:bCs w:val="0"/>
          <w:kern w:val="0"/>
          <w:sz w:val="32"/>
          <w:szCs w:val="32"/>
          <w:u w:val="none"/>
        </w:rPr>
        <w:t>、香港路桥相连的战略性区位优势，打造成为横琴粤澳深度合作区的支撑区、服务区、拓展区，以及服务澳门、承接香港高端要素资源的阵地。积极承接横琴粤澳深度合作区产业功能外溢，提升公共服务设施品质，为澳门提供配套支撑。</w:t>
      </w:r>
    </w:p>
    <w:p>
      <w:pPr>
        <w:keepNext w:val="0"/>
        <w:keepLines w:val="0"/>
        <w:pageBreakBefore w:val="0"/>
        <w:widowControl w:val="0"/>
        <w:kinsoku/>
        <w:wordWrap/>
        <w:overflowPunct/>
        <w:topLinePunct w:val="0"/>
        <w:autoSpaceDE/>
        <w:autoSpaceDN/>
        <w:bidi w:val="0"/>
        <w:adjustRightInd/>
        <w:snapToGrid w:val="0"/>
        <w:spacing w:line="579" w:lineRule="exact"/>
        <w:ind w:firstLine="602"/>
        <w:textAlignment w:val="auto"/>
        <w:rPr>
          <w:rFonts w:hint="eastAsia"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强化对澳基础设施建设。加强对澳原水供应保障，维持竹仙洞水库至澳门青洲给水厂、广昌泵站至澳门石排湾给水厂等四条供水管道，对澳供水能力保持</w:t>
      </w:r>
      <w:r>
        <w:rPr>
          <w:rFonts w:hint="eastAsia" w:cs="Times New Roman"/>
          <w:b w:val="0"/>
          <w:bCs w:val="0"/>
          <w:kern w:val="0"/>
          <w:sz w:val="32"/>
          <w:szCs w:val="32"/>
          <w:u w:val="none"/>
        </w:rPr>
        <w:t>70</w:t>
      </w:r>
      <w:r>
        <w:rPr>
          <w:rFonts w:hint="eastAsia" w:ascii="仿宋_GB2312" w:hAnsi="仿宋" w:cs="Times New Roman"/>
          <w:b w:val="0"/>
          <w:bCs w:val="0"/>
          <w:kern w:val="0"/>
          <w:sz w:val="32"/>
          <w:szCs w:val="32"/>
          <w:u w:val="none"/>
        </w:rPr>
        <w:t>万吨/日。规划建成对澳供电第三通道，谋划对澳供电第四通道，进一步提高对澳供电安全保障。确保现状对澳供气长输管线和中压拱青线、琴澳线等供应稳定，研究规划第二条向澳门供气长输管道建设工作，实现珠澳管道燃气管网的互联互通。</w:t>
      </w:r>
    </w:p>
    <w:p>
      <w:pPr>
        <w:keepNext w:val="0"/>
        <w:keepLines w:val="0"/>
        <w:pageBreakBefore w:val="0"/>
        <w:widowControl w:val="0"/>
        <w:kinsoku/>
        <w:wordWrap/>
        <w:overflowPunct/>
        <w:topLinePunct w:val="0"/>
        <w:autoSpaceDE/>
        <w:autoSpaceDN/>
        <w:bidi w:val="0"/>
        <w:adjustRightInd/>
        <w:snapToGrid w:val="0"/>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共建世界级旅游目的地。发挥珠海以整体城市景观入选全国旅游胜地“四十佳”的优势，充分挖掘珠海在海域海岛、滨海岸线、山地湿地、乡村田园等整体城市景观资源的潜力。依托横琴粤澳深度合作区、万山海洋开发试验区与澳门共建海洋海岛休闲旅游目的地。加强与澳门旅游管理、旅游服务、旅游业态的互补性，为国内外游客提供更为便利的通关条件，共建世界级旅游目的地。</w:t>
      </w:r>
    </w:p>
    <w:p>
      <w:pPr>
        <w:pStyle w:val="85"/>
        <w:keepNext w:val="0"/>
        <w:keepLines w:val="0"/>
        <w:pageBreakBefore w:val="0"/>
        <w:widowControl w:val="0"/>
        <w:tabs>
          <w:tab w:val="left" w:pos="0"/>
          <w:tab w:val="clear" w:pos="420"/>
        </w:tabs>
        <w:kinsoku/>
        <w:wordWrap/>
        <w:overflowPunct/>
        <w:topLinePunct w:val="0"/>
        <w:autoSpaceDE/>
        <w:autoSpaceDN/>
        <w:bidi w:val="0"/>
        <w:adjustRightInd/>
        <w:snapToGrid w:val="0"/>
        <w:spacing w:before="0" w:beforeLines="0" w:after="0" w:afterLines="0" w:line="579" w:lineRule="exact"/>
        <w:ind w:left="198" w:leftChars="0" w:firstLine="0" w:firstLineChars="0"/>
        <w:textAlignment w:val="auto"/>
        <w:rPr>
          <w:rFonts w:hint="eastAsia"/>
          <w:b w:val="0"/>
          <w:bCs w:val="0"/>
          <w:sz w:val="32"/>
          <w:szCs w:val="32"/>
          <w:u w:val="none"/>
          <w:lang w:val="en-US"/>
        </w:rPr>
      </w:pPr>
      <w:bookmarkStart w:id="340" w:name="_Toc18574"/>
      <w:r>
        <w:rPr>
          <w:rFonts w:hint="eastAsia"/>
          <w:b w:val="0"/>
          <w:bCs w:val="0"/>
          <w:sz w:val="32"/>
          <w:szCs w:val="32"/>
          <w:u w:val="none"/>
          <w:lang w:val="en-US"/>
        </w:rPr>
        <w:t>共建粤港澳大湾区世界级城市群</w:t>
      </w:r>
      <w:bookmarkEnd w:id="340"/>
    </w:p>
    <w:p>
      <w:pPr>
        <w:keepNext w:val="0"/>
        <w:keepLines w:val="0"/>
        <w:pageBreakBefore w:val="0"/>
        <w:widowControl w:val="0"/>
        <w:kinsoku/>
        <w:wordWrap/>
        <w:overflowPunct/>
        <w:topLinePunct w:val="0"/>
        <w:autoSpaceDE/>
        <w:autoSpaceDN/>
        <w:bidi w:val="0"/>
        <w:adjustRightInd/>
        <w:snapToGrid w:val="0"/>
        <w:spacing w:line="579" w:lineRule="exact"/>
        <w:ind w:firstLine="602"/>
        <w:textAlignment w:val="auto"/>
        <w:rPr>
          <w:rFonts w:ascii="仿宋_GB2312" w:hAnsi="仿宋" w:cs="Times New Roman"/>
          <w:b w:val="0"/>
          <w:bCs w:val="0"/>
          <w:kern w:val="0"/>
          <w:sz w:val="32"/>
          <w:szCs w:val="32"/>
          <w:u w:val="none"/>
        </w:rPr>
      </w:pPr>
      <w:bookmarkStart w:id="341" w:name="_Toc130823156"/>
      <w:r>
        <w:rPr>
          <w:rFonts w:hint="eastAsia" w:ascii="仿宋_GB2312" w:hAnsi="仿宋" w:cs="Times New Roman"/>
          <w:b w:val="0"/>
          <w:bCs w:val="0"/>
          <w:kern w:val="0"/>
          <w:sz w:val="32"/>
          <w:szCs w:val="32"/>
          <w:u w:val="none"/>
        </w:rPr>
        <w:t>加强与“香港-深圳”发展极</w:t>
      </w:r>
      <w:bookmarkEnd w:id="341"/>
      <w:r>
        <w:rPr>
          <w:rFonts w:hint="eastAsia" w:ascii="仿宋_GB2312" w:hAnsi="仿宋" w:cs="Times New Roman"/>
          <w:b w:val="0"/>
          <w:bCs w:val="0"/>
          <w:kern w:val="0"/>
          <w:sz w:val="32"/>
          <w:szCs w:val="32"/>
          <w:u w:val="none"/>
        </w:rPr>
        <w:t>联动发展。规划直连深圳的深珠铁路（伶仃洋通道），在未来科学城等有条件地区</w:t>
      </w:r>
      <w:r>
        <w:rPr>
          <w:rFonts w:hint="eastAsia"/>
          <w:b w:val="0"/>
          <w:bCs w:val="0"/>
          <w:sz w:val="32"/>
          <w:szCs w:val="32"/>
          <w:u w:val="none"/>
        </w:rPr>
        <w:t>共建</w:t>
      </w:r>
      <w:r>
        <w:rPr>
          <w:rFonts w:hint="eastAsia" w:ascii="仿宋_GB2312" w:hAnsi="仿宋" w:cs="Times New Roman"/>
          <w:b w:val="0"/>
          <w:bCs w:val="0"/>
          <w:kern w:val="0"/>
          <w:sz w:val="32"/>
          <w:szCs w:val="32"/>
          <w:u w:val="none"/>
        </w:rPr>
        <w:t>深珠合作区。探索建设跨界生活服务设施共享示范地区，推进教育、医疗、社保等公共服务一体化。抢抓“港车北上”机遇，积极对接香港高端要素资源，促进珠海制造业与香港服务业优势互补。依托粤港澳物流园、斗门新港物流园、珠港澳航空会展科研合作区等平台，与香港、深圳共建“珠-港-深”物流会展合作区。联合深圳、香港推动“两廊两点”建设，共同布局重大科技创新基础设施和高水平研究机构，共同培育发展战略性新兴产业、未来产业及上下游配套产业。</w:t>
      </w:r>
    </w:p>
    <w:p>
      <w:pPr>
        <w:keepNext w:val="0"/>
        <w:keepLines w:val="0"/>
        <w:pageBreakBefore w:val="0"/>
        <w:widowControl w:val="0"/>
        <w:kinsoku/>
        <w:wordWrap/>
        <w:overflowPunct/>
        <w:topLinePunct w:val="0"/>
        <w:autoSpaceDE/>
        <w:autoSpaceDN/>
        <w:bidi w:val="0"/>
        <w:adjustRightInd/>
        <w:snapToGrid w:val="0"/>
        <w:spacing w:line="579" w:lineRule="exact"/>
        <w:ind w:firstLine="602"/>
        <w:textAlignment w:val="auto"/>
        <w:rPr>
          <w:rFonts w:ascii="仿宋_GB2312" w:hAnsi="仿宋" w:cs="Times New Roman"/>
          <w:b w:val="0"/>
          <w:bCs w:val="0"/>
          <w:kern w:val="0"/>
          <w:sz w:val="32"/>
          <w:szCs w:val="32"/>
          <w:u w:val="none"/>
        </w:rPr>
      </w:pPr>
      <w:bookmarkStart w:id="342" w:name="_Toc130823157"/>
      <w:r>
        <w:rPr>
          <w:rFonts w:hint="eastAsia" w:ascii="仿宋_GB2312" w:hAnsi="仿宋" w:cs="Times New Roman"/>
          <w:b w:val="0"/>
          <w:bCs w:val="0"/>
          <w:kern w:val="0"/>
          <w:sz w:val="32"/>
          <w:szCs w:val="32"/>
          <w:u w:val="none"/>
        </w:rPr>
        <w:t>深化与“广州-佛山”发展极</w:t>
      </w:r>
      <w:bookmarkEnd w:id="342"/>
      <w:r>
        <w:rPr>
          <w:rFonts w:hint="eastAsia" w:ascii="仿宋_GB2312" w:hAnsi="仿宋" w:cs="Times New Roman"/>
          <w:b w:val="0"/>
          <w:bCs w:val="0"/>
          <w:kern w:val="0"/>
          <w:sz w:val="32"/>
          <w:szCs w:val="32"/>
          <w:u w:val="none"/>
        </w:rPr>
        <w:t>协同发展。加强与广州都市圈轨道交通直连直通，推进珠肇高铁、广珠（澳）高铁建设，统筹推进南珠（中）城际、广佛江珠城际、珠斗城际等项目规划建设，推动珠海融入广佛半小时通勤圈。协调推进珠江口西岸先进装备制造产业带建设，加强与广佛在智能家电、新能源汽车、机器人等产业的合作。联合广州推进“两廊两点”建设，共建一批科技创新中心，协同打造区域协同创新体系。积极承接广州优质高校、医院等公共服务资源，提升珠海区域公共服务水平。</w:t>
      </w:r>
    </w:p>
    <w:p>
      <w:pPr>
        <w:keepNext w:val="0"/>
        <w:keepLines w:val="0"/>
        <w:pageBreakBefore w:val="0"/>
        <w:widowControl w:val="0"/>
        <w:kinsoku/>
        <w:wordWrap/>
        <w:overflowPunct/>
        <w:topLinePunct w:val="0"/>
        <w:autoSpaceDE/>
        <w:autoSpaceDN/>
        <w:bidi w:val="0"/>
        <w:adjustRightInd/>
        <w:snapToGrid w:val="0"/>
        <w:spacing w:line="579" w:lineRule="exact"/>
        <w:ind w:firstLine="602"/>
        <w:textAlignment w:val="auto"/>
        <w:rPr>
          <w:rFonts w:ascii="仿宋_GB2312" w:hAnsi="仿宋" w:cs="Times New Roman"/>
          <w:b w:val="0"/>
          <w:bCs w:val="0"/>
          <w:kern w:val="0"/>
          <w:sz w:val="32"/>
          <w:szCs w:val="32"/>
          <w:u w:val="none"/>
        </w:rPr>
      </w:pPr>
      <w:bookmarkStart w:id="343" w:name="_Toc130823152"/>
      <w:r>
        <w:rPr>
          <w:rFonts w:hint="eastAsia" w:ascii="仿宋_GB2312" w:hAnsi="仿宋" w:cs="Times New Roman"/>
          <w:b w:val="0"/>
          <w:bCs w:val="0"/>
          <w:kern w:val="0"/>
          <w:sz w:val="32"/>
          <w:szCs w:val="32"/>
          <w:u w:val="none"/>
        </w:rPr>
        <w:t>有力支撑全省“一核一带一区”发展格局</w:t>
      </w:r>
      <w:bookmarkEnd w:id="343"/>
      <w:r>
        <w:rPr>
          <w:rFonts w:hint="eastAsia" w:ascii="仿宋_GB2312" w:hAnsi="仿宋" w:cs="Times New Roman"/>
          <w:b w:val="0"/>
          <w:bCs w:val="0"/>
          <w:kern w:val="0"/>
          <w:sz w:val="32"/>
          <w:szCs w:val="32"/>
          <w:u w:val="none"/>
        </w:rPr>
        <w:t>。强化“澳门－珠海”发展极与“香港－深圳”、“广州－佛山”发展极的引领带动作用，加快形成极点带动、轴带支撑的粤港澳大湾区网络化</w:t>
      </w:r>
      <w:r>
        <w:rPr>
          <w:rFonts w:hint="eastAsia"/>
          <w:b w:val="0"/>
          <w:bCs w:val="0"/>
          <w:sz w:val="32"/>
          <w:szCs w:val="32"/>
          <w:u w:val="none"/>
        </w:rPr>
        <w:t>空间结构</w:t>
      </w:r>
      <w:r>
        <w:rPr>
          <w:rFonts w:hint="eastAsia" w:ascii="仿宋_GB2312" w:hAnsi="仿宋" w:cs="Times New Roman"/>
          <w:b w:val="0"/>
          <w:bCs w:val="0"/>
          <w:kern w:val="0"/>
          <w:sz w:val="32"/>
          <w:szCs w:val="32"/>
          <w:u w:val="none"/>
        </w:rPr>
        <w:t>。加强珠海与汕头、湛江等沿海地区城市设施互联、功能对接，促进沿海经济带高效联系。加强珠海以沿海防护林、滨海湿地、海湾、海岛等要素为主体的海洋生态保护，与省内沿海城市共建南部海洋生态保护链。加强与韶关、清远、云浮等地生态型产业合作，支持广东北部生态发展区打造生态经济发展新标杆。</w:t>
      </w:r>
    </w:p>
    <w:p>
      <w:pPr>
        <w:pStyle w:val="85"/>
        <w:keepNext w:val="0"/>
        <w:keepLines w:val="0"/>
        <w:pageBreakBefore w:val="0"/>
        <w:widowControl w:val="0"/>
        <w:tabs>
          <w:tab w:val="left" w:pos="0"/>
          <w:tab w:val="clear" w:pos="420"/>
        </w:tabs>
        <w:kinsoku/>
        <w:wordWrap/>
        <w:overflowPunct/>
        <w:topLinePunct w:val="0"/>
        <w:autoSpaceDE/>
        <w:autoSpaceDN/>
        <w:bidi w:val="0"/>
        <w:adjustRightInd/>
        <w:snapToGrid w:val="0"/>
        <w:spacing w:before="0" w:beforeLines="0" w:after="0" w:afterLines="0" w:line="579" w:lineRule="exact"/>
        <w:ind w:left="198" w:leftChars="0" w:firstLine="0" w:firstLineChars="0"/>
        <w:textAlignment w:val="auto"/>
        <w:rPr>
          <w:rFonts w:hint="eastAsia"/>
          <w:b w:val="0"/>
          <w:bCs w:val="0"/>
          <w:sz w:val="32"/>
          <w:szCs w:val="32"/>
          <w:u w:val="none"/>
          <w:lang w:val="en-US"/>
        </w:rPr>
      </w:pPr>
      <w:bookmarkStart w:id="344" w:name="_Toc130823158"/>
      <w:bookmarkStart w:id="345" w:name="_Toc30905"/>
      <w:r>
        <w:rPr>
          <w:rFonts w:hint="eastAsia"/>
          <w:b w:val="0"/>
          <w:bCs w:val="0"/>
          <w:sz w:val="32"/>
          <w:szCs w:val="32"/>
          <w:u w:val="none"/>
          <w:lang w:val="en-US"/>
        </w:rPr>
        <w:t>引领珠江口西岸</w:t>
      </w:r>
      <w:bookmarkEnd w:id="344"/>
      <w:r>
        <w:rPr>
          <w:rFonts w:hint="eastAsia"/>
          <w:b w:val="0"/>
          <w:bCs w:val="0"/>
          <w:sz w:val="32"/>
          <w:szCs w:val="32"/>
          <w:u w:val="none"/>
          <w:lang w:val="en-US"/>
        </w:rPr>
        <w:t>一体化发展</w:t>
      </w:r>
      <w:bookmarkEnd w:id="345"/>
    </w:p>
    <w:p>
      <w:pPr>
        <w:keepNext w:val="0"/>
        <w:keepLines w:val="0"/>
        <w:pageBreakBefore w:val="0"/>
        <w:widowControl w:val="0"/>
        <w:kinsoku/>
        <w:wordWrap/>
        <w:overflowPunct/>
        <w:topLinePunct w:val="0"/>
        <w:autoSpaceDE/>
        <w:autoSpaceDN/>
        <w:bidi w:val="0"/>
        <w:adjustRightInd/>
        <w:snapToGrid w:val="0"/>
        <w:spacing w:line="579" w:lineRule="exact"/>
        <w:ind w:firstLine="602"/>
        <w:textAlignment w:val="auto"/>
        <w:rPr>
          <w:rFonts w:hint="eastAsia"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构建一体化空间发展格局。加强与中山、江门的规划协调，以区域协调、功能互补、辐射拓展为导向，共建“一极三核多节点、内联外接多轴带、蓝绿网络高品质”的一体化空间发展格局。重点加强珠海-中山交界地区（珠海唐家湾、前山，中山南朗、横门岛、坦洲）、珠海-江门交界地区（</w:t>
      </w:r>
      <w:r>
        <w:rPr>
          <w:rFonts w:hint="eastAsia"/>
          <w:b w:val="0"/>
          <w:bCs w:val="0"/>
          <w:sz w:val="32"/>
          <w:szCs w:val="32"/>
          <w:u w:val="none"/>
        </w:rPr>
        <w:t>珠海</w:t>
      </w:r>
      <w:r>
        <w:rPr>
          <w:rFonts w:hint="eastAsia" w:ascii="仿宋_GB2312" w:hAnsi="仿宋" w:cs="Times New Roman"/>
          <w:b w:val="0"/>
          <w:bCs w:val="0"/>
          <w:kern w:val="0"/>
          <w:sz w:val="32"/>
          <w:szCs w:val="32"/>
          <w:u w:val="none"/>
        </w:rPr>
        <w:t>富山工业园、江门银湖湾滨海地区）的土地利用功能布局，强化结构性要素的共同管控。</w:t>
      </w:r>
    </w:p>
    <w:p>
      <w:pPr>
        <w:keepNext w:val="0"/>
        <w:keepLines w:val="0"/>
        <w:pageBreakBefore w:val="0"/>
        <w:widowControl w:val="0"/>
        <w:kinsoku/>
        <w:wordWrap/>
        <w:overflowPunct/>
        <w:topLinePunct w:val="0"/>
        <w:autoSpaceDE/>
        <w:autoSpaceDN/>
        <w:bidi w:val="0"/>
        <w:adjustRightInd/>
        <w:snapToGrid w:val="0"/>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推进流域生态共保共治。加强与中山、江门在黄金内湾海岸带、西江流域的共建共治共享，携手推进珠海东澳湾与中山逸仙湾、江门银湖湾及镇海湾等海湾生态环境</w:t>
      </w:r>
      <w:r>
        <w:rPr>
          <w:rFonts w:hint="eastAsia"/>
          <w:b w:val="0"/>
          <w:bCs w:val="0"/>
          <w:sz w:val="32"/>
          <w:szCs w:val="32"/>
          <w:u w:val="none"/>
        </w:rPr>
        <w:t>综合治理</w:t>
      </w:r>
      <w:r>
        <w:rPr>
          <w:rFonts w:hint="eastAsia" w:ascii="仿宋_GB2312" w:hAnsi="仿宋" w:cs="Times New Roman"/>
          <w:b w:val="0"/>
          <w:bCs w:val="0"/>
          <w:kern w:val="0"/>
          <w:sz w:val="32"/>
          <w:szCs w:val="32"/>
          <w:u w:val="none"/>
        </w:rPr>
        <w:t>，强化滨海资源的综合保护与利用，共建都市圈沿海生态带。携手中山加强前山河、中珠渠流域、那洲排洪渠-西山涌等多个流域综合治理。</w:t>
      </w:r>
    </w:p>
    <w:p>
      <w:pPr>
        <w:keepNext w:val="0"/>
        <w:keepLines w:val="0"/>
        <w:pageBreakBefore w:val="0"/>
        <w:widowControl w:val="0"/>
        <w:kinsoku/>
        <w:wordWrap/>
        <w:overflowPunct/>
        <w:topLinePunct w:val="0"/>
        <w:autoSpaceDE/>
        <w:autoSpaceDN/>
        <w:bidi w:val="0"/>
        <w:adjustRightInd/>
        <w:snapToGrid w:val="0"/>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加强区域产业互补协作。高水平加快广东省（珠海）大型产业集聚区建设，深化珠中江阳合作，主动</w:t>
      </w:r>
      <w:r>
        <w:rPr>
          <w:rFonts w:hint="eastAsia"/>
          <w:b w:val="0"/>
          <w:bCs w:val="0"/>
          <w:sz w:val="32"/>
          <w:szCs w:val="32"/>
          <w:u w:val="none"/>
        </w:rPr>
        <w:t>承接</w:t>
      </w:r>
      <w:r>
        <w:rPr>
          <w:rFonts w:hint="eastAsia" w:ascii="仿宋_GB2312" w:hAnsi="仿宋" w:cs="Times New Roman"/>
          <w:b w:val="0"/>
          <w:bCs w:val="0"/>
          <w:kern w:val="0"/>
          <w:sz w:val="32"/>
          <w:szCs w:val="32"/>
          <w:u w:val="none"/>
        </w:rPr>
        <w:t>珠江口东岸产业拓展转移，促进东岸创新要素和产业资源向西岸延伸布局。聚焦高端装备制造产业、新一代信息技术产业、生物医药与健康产业、高端现代服务业等领域，打造高品质现代化工业载体和高科技产业发展空间。</w:t>
      </w:r>
      <w:bookmarkStart w:id="346" w:name="_Toc130823161"/>
    </w:p>
    <w:bookmarkEnd w:id="346"/>
    <w:p>
      <w:pPr>
        <w:keepNext w:val="0"/>
        <w:keepLines w:val="0"/>
        <w:pageBreakBefore w:val="0"/>
        <w:widowControl w:val="0"/>
        <w:kinsoku/>
        <w:wordWrap/>
        <w:overflowPunct/>
        <w:topLinePunct w:val="0"/>
        <w:autoSpaceDE/>
        <w:autoSpaceDN/>
        <w:bidi w:val="0"/>
        <w:adjustRightInd/>
        <w:snapToGrid w:val="0"/>
        <w:spacing w:line="579" w:lineRule="exact"/>
        <w:ind w:firstLine="602"/>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推动公共服务一体共享。推进珠海南屏-中山坦洲同城化发展，推进珠海唐家湾-中山南朗区域创新产业发展区建设，探索共建跨界公共服务设施共建共享示范地区。推动珠海、中山结合轨道交通和产业布局，在城市交界地区开发建设保障性住房，划定城际住房协同开发区域，完善相关公共服务设施配套。</w:t>
      </w:r>
    </w:p>
    <w:p>
      <w:pPr>
        <w:keepNext w:val="0"/>
        <w:keepLines w:val="0"/>
        <w:pageBreakBefore w:val="0"/>
        <w:widowControl w:val="0"/>
        <w:kinsoku/>
        <w:wordWrap/>
        <w:overflowPunct/>
        <w:topLinePunct w:val="0"/>
        <w:autoSpaceDE/>
        <w:autoSpaceDN/>
        <w:bidi w:val="0"/>
        <w:adjustRightInd/>
        <w:snapToGrid w:val="0"/>
        <w:spacing w:line="579" w:lineRule="exact"/>
        <w:ind w:firstLine="602"/>
        <w:textAlignment w:val="auto"/>
        <w:rPr>
          <w:rFonts w:hint="eastAsia" w:ascii="仿宋_GB2312"/>
          <w:b w:val="0"/>
          <w:bCs w:val="0"/>
          <w:sz w:val="32"/>
          <w:szCs w:val="32"/>
          <w:u w:val="none"/>
        </w:rPr>
      </w:pPr>
      <w:r>
        <w:rPr>
          <w:rFonts w:hint="eastAsia" w:ascii="仿宋_GB2312" w:hAnsi="仿宋" w:cs="Times New Roman"/>
          <w:b w:val="0"/>
          <w:bCs w:val="0"/>
          <w:kern w:val="0"/>
          <w:sz w:val="32"/>
          <w:szCs w:val="32"/>
          <w:u w:val="none"/>
        </w:rPr>
        <w:t>加快基础设施互联互通。构建城际铁路网络，加强城市轨道统筹规划。发挥珠海港集约枢纽型港口的作用，加强与中山、江门等港口协调发展。强化珠中江高速公路网与跨江通道衔接，加强交界地区路网衔接，重点打通快速路、城市主次干道和断头路。推进珠中江供水一体化工程，多途径保障区域供水安全。统筹协调珠海上冲、前山片区与中山市坦洲镇等交界地区防洪排涝标准，完善防洪（潮）排涝设施建设，建立联防联治和防汛排涝应急调度机制。</w:t>
      </w:r>
    </w:p>
    <w:p>
      <w:pPr>
        <w:tabs>
          <w:tab w:val="center" w:pos="4153"/>
        </w:tabs>
        <w:ind w:firstLine="600"/>
        <w:rPr>
          <w:rFonts w:hint="eastAsia" w:ascii="仿宋_GB2312"/>
          <w:b w:val="0"/>
          <w:bCs w:val="0"/>
          <w:sz w:val="32"/>
          <w:szCs w:val="32"/>
          <w:u w:val="none"/>
        </w:rPr>
        <w:sectPr>
          <w:pgSz w:w="11906" w:h="16838"/>
          <w:pgMar w:top="2041" w:right="1531" w:bottom="2041" w:left="1531" w:header="851" w:footer="1531" w:gutter="0"/>
          <w:paperSrc/>
          <w:pgNumType w:fmt="decimal"/>
          <w:cols w:space="720" w:num="1"/>
          <w:rtlGutter w:val="0"/>
          <w:docGrid w:type="linesAndChars" w:linePitch="607" w:charSpace="0"/>
        </w:sectPr>
      </w:pPr>
      <w:r>
        <w:rPr>
          <w:rFonts w:ascii="仿宋_GB2312"/>
          <w:b w:val="0"/>
          <w:bCs w:val="0"/>
          <w:sz w:val="32"/>
          <w:szCs w:val="32"/>
          <w:u w:val="none"/>
        </w:rPr>
        <w:tab/>
      </w:r>
    </w:p>
    <w:p>
      <w:pPr>
        <w:pStyle w:val="3"/>
        <w:keepNext w:val="0"/>
        <w:keepLines w:val="0"/>
        <w:pageBreakBefore w:val="0"/>
        <w:widowControl w:val="0"/>
        <w:kinsoku/>
        <w:wordWrap/>
        <w:overflowPunct/>
        <w:topLinePunct w:val="0"/>
        <w:bidi w:val="0"/>
        <w:snapToGrid/>
        <w:spacing w:before="0" w:beforeLines="0" w:after="0" w:afterLines="0" w:line="579" w:lineRule="exact"/>
        <w:textAlignment w:val="auto"/>
        <w:rPr>
          <w:rFonts w:hint="eastAsia" w:ascii="方正小标宋简体" w:hAnsi="方正小标宋简体" w:eastAsia="方正小标宋简体" w:cs="方正小标宋简体"/>
          <w:b w:val="0"/>
          <w:bCs w:val="0"/>
          <w:sz w:val="44"/>
          <w:szCs w:val="44"/>
          <w:u w:val="none"/>
        </w:rPr>
      </w:pPr>
      <w:bookmarkStart w:id="347" w:name="_Toc30496"/>
      <w:r>
        <w:rPr>
          <w:rFonts w:hint="eastAsia" w:ascii="方正小标宋简体" w:hAnsi="方正小标宋简体" w:eastAsia="方正小标宋简体" w:cs="方正小标宋简体"/>
          <w:b w:val="0"/>
          <w:bCs w:val="0"/>
          <w:sz w:val="44"/>
          <w:szCs w:val="44"/>
          <w:u w:val="none"/>
        </w:rPr>
        <w:t>规划实施保障</w:t>
      </w:r>
      <w:bookmarkEnd w:id="347"/>
    </w:p>
    <w:p>
      <w:pPr>
        <w:pStyle w:val="81"/>
        <w:keepNext w:val="0"/>
        <w:keepLines w:val="0"/>
        <w:pageBreakBefore w:val="0"/>
        <w:widowControl w:val="0"/>
        <w:numPr>
          <w:ilvl w:val="0"/>
          <w:numId w:val="15"/>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348" w:name="_Toc5032"/>
      <w:r>
        <w:rPr>
          <w:rFonts w:hint="eastAsia"/>
          <w:b w:val="0"/>
          <w:bCs w:val="0"/>
          <w:sz w:val="32"/>
          <w:szCs w:val="32"/>
          <w:u w:val="none"/>
        </w:rPr>
        <w:t>统筹规划编制</w:t>
      </w:r>
      <w:bookmarkEnd w:id="348"/>
    </w:p>
    <w:p>
      <w:pPr>
        <w:pStyle w:val="85"/>
        <w:keepNext w:val="0"/>
        <w:keepLines w:val="0"/>
        <w:pageBreakBefore w:val="0"/>
        <w:widowControl w:val="0"/>
        <w:tabs>
          <w:tab w:val="left" w:pos="0"/>
          <w:tab w:val="clear" w:pos="420"/>
        </w:tabs>
        <w:kinsoku/>
        <w:wordWrap/>
        <w:overflowPunct/>
        <w:topLinePunct w:val="0"/>
        <w:bidi w:val="0"/>
        <w:snapToGrid/>
        <w:spacing w:before="0" w:beforeLines="0" w:after="0" w:afterLines="0" w:line="579" w:lineRule="exact"/>
        <w:ind w:left="198" w:leftChars="0" w:firstLine="0" w:firstLineChars="0"/>
        <w:textAlignment w:val="auto"/>
        <w:rPr>
          <w:b w:val="0"/>
          <w:bCs w:val="0"/>
          <w:sz w:val="32"/>
          <w:szCs w:val="32"/>
          <w:u w:val="none"/>
          <w:lang w:val="en-US"/>
        </w:rPr>
      </w:pPr>
      <w:bookmarkStart w:id="349" w:name="_Toc27018"/>
      <w:r>
        <w:rPr>
          <w:rFonts w:hint="eastAsia"/>
          <w:b w:val="0"/>
          <w:bCs w:val="0"/>
          <w:sz w:val="32"/>
          <w:szCs w:val="32"/>
          <w:u w:val="none"/>
          <w:lang w:val="en-US"/>
        </w:rPr>
        <w:t>建立四级三类规划编制体系</w:t>
      </w:r>
      <w:bookmarkEnd w:id="349"/>
    </w:p>
    <w:p>
      <w:pPr>
        <w:keepNext w:val="0"/>
        <w:keepLines w:val="0"/>
        <w:pageBreakBefore w:val="0"/>
        <w:widowControl w:val="0"/>
        <w:kinsoku/>
        <w:wordWrap/>
        <w:overflowPunct/>
        <w:topLinePunct w:val="0"/>
        <w:bidi w:val="0"/>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四级”是指对应“市级-片区级-基本城市组团级-邻里级”四级空间架构，建立市级、区级、基本城市组团级和邻里级/村庄（海岛）四级规划编制体系。“三类”即国土空间总体规划（市、区级）、国土空间详细规划（基本城市组团、邻里/村庄〔海岛〕）和相关专项规划。详细规划包括基本城市组团层面的详细规划“导则”（以下简称“组团导则”）和邻里单元层面的详细规划“</w:t>
      </w:r>
      <w:r>
        <w:rPr>
          <w:rFonts w:hint="eastAsia"/>
          <w:b w:val="0"/>
          <w:bCs w:val="0"/>
          <w:sz w:val="32"/>
          <w:szCs w:val="32"/>
          <w:u w:val="none"/>
        </w:rPr>
        <w:t>细则</w:t>
      </w:r>
      <w:r>
        <w:rPr>
          <w:rFonts w:hint="eastAsia" w:ascii="仿宋_GB2312" w:hAnsi="仿宋" w:cs="Times New Roman"/>
          <w:b w:val="0"/>
          <w:bCs w:val="0"/>
          <w:kern w:val="0"/>
          <w:sz w:val="32"/>
          <w:szCs w:val="32"/>
          <w:u w:val="none"/>
        </w:rPr>
        <w:t>”（以下简称“邻里细则”），实施分级管控。在国土空间规划编制体系外不另设其他空间规划。</w:t>
      </w:r>
    </w:p>
    <w:p>
      <w:pPr>
        <w:keepNext w:val="0"/>
        <w:keepLines w:val="0"/>
        <w:pageBreakBefore w:val="0"/>
        <w:widowControl w:val="0"/>
        <w:kinsoku/>
        <w:wordWrap/>
        <w:overflowPunct/>
        <w:topLinePunct w:val="0"/>
        <w:autoSpaceDE w:val="0"/>
        <w:autoSpaceDN w:val="0"/>
        <w:bidi w:val="0"/>
        <w:adjustRightInd w:val="0"/>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国土空间总体规划是详细规划的依据、相关专项规划的基础；相关专项规划要相互协调，并与详细规划做好衔接。</w:t>
      </w:r>
    </w:p>
    <w:p>
      <w:pPr>
        <w:pStyle w:val="85"/>
        <w:keepNext w:val="0"/>
        <w:keepLines w:val="0"/>
        <w:pageBreakBefore w:val="0"/>
        <w:widowControl w:val="0"/>
        <w:tabs>
          <w:tab w:val="left" w:pos="0"/>
          <w:tab w:val="clear" w:pos="420"/>
        </w:tabs>
        <w:kinsoku/>
        <w:wordWrap/>
        <w:overflowPunct/>
        <w:topLinePunct w:val="0"/>
        <w:bidi w:val="0"/>
        <w:snapToGrid/>
        <w:spacing w:before="0" w:beforeLines="0" w:after="0" w:afterLines="0" w:line="579" w:lineRule="exact"/>
        <w:ind w:left="198" w:leftChars="0" w:firstLine="0" w:firstLineChars="0"/>
        <w:textAlignment w:val="auto"/>
        <w:rPr>
          <w:rFonts w:hint="eastAsia"/>
          <w:b w:val="0"/>
          <w:bCs w:val="0"/>
          <w:sz w:val="32"/>
          <w:szCs w:val="32"/>
          <w:u w:val="none"/>
          <w:lang w:val="en-US"/>
        </w:rPr>
      </w:pPr>
      <w:bookmarkStart w:id="350" w:name="_Toc19816"/>
      <w:r>
        <w:rPr>
          <w:rFonts w:hint="eastAsia"/>
          <w:b w:val="0"/>
          <w:bCs w:val="0"/>
          <w:sz w:val="32"/>
          <w:szCs w:val="32"/>
          <w:u w:val="none"/>
          <w:lang w:val="en-US"/>
        </w:rPr>
        <w:t>推进规划编制“两同步”</w:t>
      </w:r>
      <w:bookmarkEnd w:id="350"/>
    </w:p>
    <w:p>
      <w:pPr>
        <w:keepNext w:val="0"/>
        <w:keepLines w:val="0"/>
        <w:pageBreakBefore w:val="0"/>
        <w:widowControl w:val="0"/>
        <w:kinsoku/>
        <w:wordWrap/>
        <w:overflowPunct/>
        <w:topLinePunct w:val="0"/>
        <w:bidi w:val="0"/>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区级国土空间总体规划（以下简称分区规划）与市级国土空间总体规划（以下简称市级总规）同步。同步编制两级总体规划，上下联动，无缝衔接，实现分区发展诉求的有效反馈和市级总规的高效传导。市级总规</w:t>
      </w:r>
      <w:r>
        <w:rPr>
          <w:rFonts w:hint="eastAsia"/>
          <w:b w:val="0"/>
          <w:bCs w:val="0"/>
          <w:sz w:val="32"/>
          <w:szCs w:val="32"/>
          <w:u w:val="none"/>
        </w:rPr>
        <w:t>制定</w:t>
      </w:r>
      <w:r>
        <w:rPr>
          <w:rFonts w:hint="eastAsia" w:ascii="仿宋_GB2312" w:hAnsi="仿宋" w:cs="Times New Roman"/>
          <w:b w:val="0"/>
          <w:bCs w:val="0"/>
          <w:kern w:val="0"/>
          <w:sz w:val="32"/>
          <w:szCs w:val="32"/>
          <w:u w:val="none"/>
        </w:rPr>
        <w:t>分区规划指引，提出分区规划功能定位、底线管控和空间指引要求。分区规划落实市级总规强制性要求，提出本辖区内国土空间保护与修复、开发与利用的详细安排。</w:t>
      </w:r>
    </w:p>
    <w:p>
      <w:pPr>
        <w:keepNext w:val="0"/>
        <w:keepLines w:val="0"/>
        <w:pageBreakBefore w:val="0"/>
        <w:widowControl w:val="0"/>
        <w:kinsoku/>
        <w:wordWrap/>
        <w:overflowPunct/>
        <w:topLinePunct w:val="0"/>
        <w:bidi w:val="0"/>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城市设计与国土空间规划同步。城市设计应贯穿国土空间规划全过程，与总体规划、详细规划同步编制审批。强化城市设计对城市特色风貌的精细化管控，形成城市设计强制性要求，支撑详细规划用地规划条件编制。</w:t>
      </w:r>
    </w:p>
    <w:p>
      <w:pPr>
        <w:pStyle w:val="85"/>
        <w:keepNext w:val="0"/>
        <w:keepLines w:val="0"/>
        <w:pageBreakBefore w:val="0"/>
        <w:widowControl w:val="0"/>
        <w:tabs>
          <w:tab w:val="left" w:pos="0"/>
          <w:tab w:val="clear" w:pos="420"/>
        </w:tabs>
        <w:kinsoku/>
        <w:wordWrap/>
        <w:overflowPunct/>
        <w:topLinePunct w:val="0"/>
        <w:bidi w:val="0"/>
        <w:snapToGrid/>
        <w:spacing w:before="0" w:beforeLines="0" w:after="0" w:afterLines="0" w:line="579" w:lineRule="exact"/>
        <w:ind w:left="198" w:leftChars="0" w:firstLine="0" w:firstLineChars="0"/>
        <w:textAlignment w:val="auto"/>
        <w:rPr>
          <w:rFonts w:hint="eastAsia"/>
          <w:b w:val="0"/>
          <w:bCs w:val="0"/>
          <w:sz w:val="32"/>
          <w:szCs w:val="32"/>
          <w:u w:val="none"/>
          <w:lang w:val="en-US"/>
        </w:rPr>
      </w:pPr>
      <w:bookmarkStart w:id="351" w:name="_Toc31089"/>
      <w:r>
        <w:rPr>
          <w:rFonts w:hint="eastAsia"/>
          <w:b w:val="0"/>
          <w:bCs w:val="0"/>
          <w:sz w:val="32"/>
          <w:szCs w:val="32"/>
          <w:u w:val="none"/>
          <w:lang w:val="en-US"/>
        </w:rPr>
        <w:t>实现国土空间规划“两协同”</w:t>
      </w:r>
      <w:bookmarkEnd w:id="351"/>
    </w:p>
    <w:p>
      <w:pPr>
        <w:keepNext w:val="0"/>
        <w:keepLines w:val="0"/>
        <w:pageBreakBefore w:val="0"/>
        <w:widowControl w:val="0"/>
        <w:kinsoku/>
        <w:wordWrap/>
        <w:overflowPunct/>
        <w:topLinePunct w:val="0"/>
        <w:bidi w:val="0"/>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专项规划与市级总规协同。专项规划应落实市级总规在底线、指标方面的刚性管控要求，落实各类保护区、功能区的控制规模、边界和管理规定。专项规划立项应符合专项规划编制目录清单，不再另外编制区级专项规划。建立健全市相关主管部门专项规划编制与市级总规的衔接制度，强化市级总规对专项规划的约束作用。</w:t>
      </w:r>
    </w:p>
    <w:p>
      <w:pPr>
        <w:keepNext w:val="0"/>
        <w:keepLines w:val="0"/>
        <w:pageBreakBefore w:val="0"/>
        <w:widowControl w:val="0"/>
        <w:kinsoku/>
        <w:wordWrap/>
        <w:overflowPunct/>
        <w:topLinePunct w:val="0"/>
        <w:bidi w:val="0"/>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详细规划与总体规划、专项规划协同。“组团导则”落实总体规划规模容量、基础设施、开敞空间、景观风貌等管控要求，明确邻里单元主导功能、开发规模、开发</w:t>
      </w:r>
      <w:r>
        <w:rPr>
          <w:rFonts w:hint="eastAsia"/>
          <w:b w:val="0"/>
          <w:bCs w:val="0"/>
          <w:sz w:val="32"/>
          <w:szCs w:val="32"/>
          <w:u w:val="none"/>
        </w:rPr>
        <w:t>强度</w:t>
      </w:r>
      <w:r>
        <w:rPr>
          <w:rFonts w:hint="eastAsia" w:ascii="仿宋_GB2312" w:hAnsi="仿宋" w:cs="Times New Roman"/>
          <w:b w:val="0"/>
          <w:bCs w:val="0"/>
          <w:kern w:val="0"/>
          <w:sz w:val="32"/>
          <w:szCs w:val="32"/>
          <w:u w:val="none"/>
        </w:rPr>
        <w:t>、用地布局等管控要求，指导“邻里细则”编制。加强详细规划与专项规划的衔接，专项规划主要内容纳入详细规划。</w:t>
      </w:r>
    </w:p>
    <w:p>
      <w:pPr>
        <w:pStyle w:val="81"/>
        <w:keepNext w:val="0"/>
        <w:keepLines w:val="0"/>
        <w:pageBreakBefore w:val="0"/>
        <w:widowControl w:val="0"/>
        <w:numPr>
          <w:ilvl w:val="0"/>
          <w:numId w:val="15"/>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352" w:name="_Toc5596"/>
      <w:r>
        <w:rPr>
          <w:rFonts w:hint="eastAsia"/>
          <w:b w:val="0"/>
          <w:bCs w:val="0"/>
          <w:sz w:val="32"/>
          <w:szCs w:val="32"/>
          <w:u w:val="none"/>
        </w:rPr>
        <w:t>统筹规划实施</w:t>
      </w:r>
      <w:bookmarkEnd w:id="352"/>
    </w:p>
    <w:p>
      <w:pPr>
        <w:pStyle w:val="85"/>
        <w:keepNext w:val="0"/>
        <w:keepLines w:val="0"/>
        <w:pageBreakBefore w:val="0"/>
        <w:widowControl w:val="0"/>
        <w:tabs>
          <w:tab w:val="left" w:pos="0"/>
          <w:tab w:val="clear" w:pos="420"/>
        </w:tabs>
        <w:kinsoku/>
        <w:wordWrap/>
        <w:overflowPunct/>
        <w:topLinePunct w:val="0"/>
        <w:bidi w:val="0"/>
        <w:snapToGrid/>
        <w:spacing w:before="0" w:beforeLines="0" w:after="0" w:afterLines="0" w:line="579" w:lineRule="exact"/>
        <w:ind w:left="198" w:leftChars="0" w:firstLine="0" w:firstLineChars="0"/>
        <w:textAlignment w:val="auto"/>
        <w:rPr>
          <w:b w:val="0"/>
          <w:bCs w:val="0"/>
          <w:sz w:val="32"/>
          <w:szCs w:val="32"/>
          <w:u w:val="none"/>
          <w:lang w:val="en-US"/>
        </w:rPr>
      </w:pPr>
      <w:bookmarkStart w:id="353" w:name="_Toc10423"/>
      <w:bookmarkStart w:id="354" w:name="_Toc137048230"/>
      <w:r>
        <w:rPr>
          <w:rFonts w:hint="eastAsia"/>
          <w:b w:val="0"/>
          <w:bCs w:val="0"/>
          <w:sz w:val="32"/>
          <w:szCs w:val="32"/>
          <w:u w:val="none"/>
          <w:lang w:val="en-US"/>
        </w:rPr>
        <w:t>健全用途管制制度</w:t>
      </w:r>
      <w:bookmarkEnd w:id="353"/>
    </w:p>
    <w:p>
      <w:pPr>
        <w:keepNext w:val="0"/>
        <w:keepLines w:val="0"/>
        <w:pageBreakBefore w:val="0"/>
        <w:widowControl w:val="0"/>
        <w:kinsoku/>
        <w:wordWrap/>
        <w:overflowPunct/>
        <w:topLinePunct w:val="0"/>
        <w:bidi w:val="0"/>
        <w:snapToGrid/>
        <w:spacing w:line="579" w:lineRule="exact"/>
        <w:ind w:firstLine="600"/>
        <w:textAlignment w:val="auto"/>
        <w:rPr>
          <w:rFonts w:hint="eastAsia" w:ascii="仿宋_GB2312" w:cs="Times New Roman"/>
          <w:b w:val="0"/>
          <w:bCs w:val="0"/>
          <w:sz w:val="32"/>
          <w:szCs w:val="32"/>
          <w:u w:val="none"/>
        </w:rPr>
      </w:pPr>
      <w:r>
        <w:rPr>
          <w:rFonts w:hint="eastAsia" w:ascii="仿宋_GB2312" w:hAnsi="仿宋" w:cs="Times New Roman"/>
          <w:b w:val="0"/>
          <w:bCs w:val="0"/>
          <w:kern w:val="0"/>
          <w:sz w:val="32"/>
          <w:szCs w:val="32"/>
          <w:u w:val="none"/>
        </w:rPr>
        <w:t>实施国土空间分区分类用途管制制度，严格执行“三条控制线”管制，保证实施传导质量。城镇</w:t>
      </w:r>
      <w:r>
        <w:rPr>
          <w:rFonts w:hint="eastAsia"/>
          <w:b w:val="0"/>
          <w:bCs w:val="0"/>
          <w:sz w:val="32"/>
          <w:szCs w:val="32"/>
          <w:u w:val="none"/>
        </w:rPr>
        <w:t>开发</w:t>
      </w:r>
      <w:r>
        <w:rPr>
          <w:rFonts w:hint="eastAsia" w:ascii="仿宋_GB2312" w:hAnsi="仿宋" w:cs="Times New Roman"/>
          <w:b w:val="0"/>
          <w:bCs w:val="0"/>
          <w:kern w:val="0"/>
          <w:sz w:val="32"/>
          <w:szCs w:val="32"/>
          <w:u w:val="none"/>
        </w:rPr>
        <w:t>边界内建设项目延续“详细规划+规划许可”管制方式；城镇开发边界外建设项目建立“详细规划+规划许可”和“约束指标+分区准入”管制制度。按制度严格保护自然保护地、重要海域海岛、重要水源地等空间</w:t>
      </w:r>
      <w:r>
        <w:rPr>
          <w:rFonts w:hint="eastAsia" w:ascii="仿宋_GB2312" w:cs="Times New Roman"/>
          <w:b w:val="0"/>
          <w:bCs w:val="0"/>
          <w:sz w:val="32"/>
          <w:szCs w:val="32"/>
          <w:u w:val="none"/>
        </w:rPr>
        <w:t>。</w:t>
      </w:r>
    </w:p>
    <w:bookmarkEnd w:id="354"/>
    <w:p>
      <w:pPr>
        <w:pStyle w:val="85"/>
        <w:keepNext w:val="0"/>
        <w:keepLines w:val="0"/>
        <w:pageBreakBefore w:val="0"/>
        <w:widowControl w:val="0"/>
        <w:tabs>
          <w:tab w:val="left" w:pos="0"/>
          <w:tab w:val="clear" w:pos="420"/>
        </w:tabs>
        <w:kinsoku/>
        <w:wordWrap/>
        <w:overflowPunct/>
        <w:topLinePunct w:val="0"/>
        <w:bidi w:val="0"/>
        <w:snapToGrid/>
        <w:spacing w:before="0" w:beforeLines="0" w:after="0" w:afterLines="0" w:line="579" w:lineRule="exact"/>
        <w:ind w:left="198" w:leftChars="0" w:firstLine="0" w:firstLineChars="0"/>
        <w:textAlignment w:val="auto"/>
        <w:rPr>
          <w:b w:val="0"/>
          <w:bCs w:val="0"/>
          <w:sz w:val="32"/>
          <w:szCs w:val="32"/>
          <w:u w:val="none"/>
          <w:lang w:val="en-US"/>
        </w:rPr>
      </w:pPr>
      <w:bookmarkStart w:id="355" w:name="_Toc6850"/>
      <w:r>
        <w:rPr>
          <w:rFonts w:hint="eastAsia"/>
          <w:b w:val="0"/>
          <w:bCs w:val="0"/>
          <w:sz w:val="32"/>
          <w:szCs w:val="32"/>
          <w:u w:val="none"/>
          <w:lang w:val="en-US"/>
        </w:rPr>
        <w:t>完善法规政策和技术标准体系</w:t>
      </w:r>
      <w:bookmarkEnd w:id="355"/>
    </w:p>
    <w:p>
      <w:pPr>
        <w:keepNext w:val="0"/>
        <w:keepLines w:val="0"/>
        <w:pageBreakBefore w:val="0"/>
        <w:widowControl w:val="0"/>
        <w:kinsoku/>
        <w:wordWrap/>
        <w:overflowPunct/>
        <w:topLinePunct w:val="0"/>
        <w:bidi w:val="0"/>
        <w:snapToGrid/>
        <w:spacing w:line="579" w:lineRule="exact"/>
        <w:ind w:firstLine="600"/>
        <w:textAlignment w:val="auto"/>
        <w:rPr>
          <w:rFonts w:hint="eastAsia"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抓好总体顶层设计，建立“规范统一”的国土空间规划法律、法规、政策体系。启动《珠海经济特区国土空间规划条例》制订工作；适时修订或新编土地管理、海域海岛保护等地方法律法规。针对专项规划、详细规划、城市设计出台管理办法，规定各类规划编制、实施管理规则。协调各部门设计规范，制定各类国土空间规划编制技术标准与准则，逐步建立符合珠海发展实际的技术标准体系。</w:t>
      </w:r>
    </w:p>
    <w:p>
      <w:pPr>
        <w:pStyle w:val="85"/>
        <w:keepNext w:val="0"/>
        <w:keepLines w:val="0"/>
        <w:pageBreakBefore w:val="0"/>
        <w:widowControl w:val="0"/>
        <w:tabs>
          <w:tab w:val="left" w:pos="0"/>
          <w:tab w:val="clear" w:pos="420"/>
        </w:tabs>
        <w:kinsoku/>
        <w:wordWrap/>
        <w:overflowPunct/>
        <w:topLinePunct w:val="0"/>
        <w:bidi w:val="0"/>
        <w:snapToGrid/>
        <w:spacing w:before="0" w:beforeLines="0" w:after="0" w:afterLines="0" w:line="579" w:lineRule="exact"/>
        <w:ind w:left="198" w:leftChars="0" w:firstLine="0" w:firstLineChars="0"/>
        <w:textAlignment w:val="auto"/>
        <w:rPr>
          <w:rFonts w:hint="eastAsia"/>
          <w:b w:val="0"/>
          <w:bCs w:val="0"/>
          <w:sz w:val="32"/>
          <w:szCs w:val="32"/>
          <w:u w:val="none"/>
          <w:lang w:val="en-US"/>
        </w:rPr>
      </w:pPr>
      <w:bookmarkStart w:id="356" w:name="_Toc23549"/>
      <w:r>
        <w:rPr>
          <w:rFonts w:hint="eastAsia"/>
          <w:b w:val="0"/>
          <w:bCs w:val="0"/>
          <w:sz w:val="32"/>
          <w:szCs w:val="32"/>
          <w:u w:val="none"/>
          <w:lang w:val="en-US"/>
        </w:rPr>
        <w:t>建立“5+</w:t>
      </w:r>
      <w:r>
        <w:rPr>
          <w:b w:val="0"/>
          <w:bCs w:val="0"/>
          <w:sz w:val="32"/>
          <w:szCs w:val="32"/>
          <w:u w:val="none"/>
          <w:lang w:val="en-US"/>
        </w:rPr>
        <w:t>3</w:t>
      </w:r>
      <w:r>
        <w:rPr>
          <w:rFonts w:hint="eastAsia"/>
          <w:b w:val="0"/>
          <w:bCs w:val="0"/>
          <w:sz w:val="32"/>
          <w:szCs w:val="32"/>
          <w:u w:val="none"/>
          <w:lang w:val="en-US"/>
        </w:rPr>
        <w:t>+</w:t>
      </w:r>
      <w:r>
        <w:rPr>
          <w:b w:val="0"/>
          <w:bCs w:val="0"/>
          <w:sz w:val="32"/>
          <w:szCs w:val="32"/>
          <w:u w:val="none"/>
          <w:lang w:val="en-US"/>
        </w:rPr>
        <w:t>1</w:t>
      </w:r>
      <w:r>
        <w:rPr>
          <w:rFonts w:hint="eastAsia"/>
          <w:b w:val="0"/>
          <w:bCs w:val="0"/>
          <w:sz w:val="32"/>
          <w:szCs w:val="32"/>
          <w:u w:val="none"/>
          <w:lang w:val="en-US"/>
        </w:rPr>
        <w:t>”的项目生成协同机制</w:t>
      </w:r>
      <w:bookmarkEnd w:id="356"/>
    </w:p>
    <w:p>
      <w:pPr>
        <w:keepNext w:val="0"/>
        <w:keepLines w:val="0"/>
        <w:pageBreakBefore w:val="0"/>
        <w:widowControl w:val="0"/>
        <w:kinsoku/>
        <w:wordWrap/>
        <w:overflowPunct/>
        <w:topLinePunct w:val="0"/>
        <w:bidi w:val="0"/>
        <w:snapToGrid/>
        <w:spacing w:line="579" w:lineRule="exact"/>
        <w:ind w:firstLine="600"/>
        <w:textAlignment w:val="auto"/>
        <w:rPr>
          <w:rFonts w:hint="eastAsia"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编制五年近期规划、三年土地储备计划和建设项目年度实施计划。编制五年近期规划，划定城市建设重点地区，加强与国民经济和社会发展规划的衔接。依据五年近期规划，制定全市土地储备三年计划和建设项目年度实施计划，精准配置土地资源，保障土地供应。</w:t>
      </w:r>
    </w:p>
    <w:p>
      <w:pPr>
        <w:pStyle w:val="81"/>
        <w:keepNext w:val="0"/>
        <w:keepLines w:val="0"/>
        <w:pageBreakBefore w:val="0"/>
        <w:widowControl w:val="0"/>
        <w:numPr>
          <w:ilvl w:val="0"/>
          <w:numId w:val="15"/>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357" w:name="_Toc19625"/>
      <w:r>
        <w:rPr>
          <w:rFonts w:hint="eastAsia"/>
          <w:b w:val="0"/>
          <w:bCs w:val="0"/>
          <w:sz w:val="32"/>
          <w:szCs w:val="32"/>
          <w:u w:val="none"/>
        </w:rPr>
        <w:t>统筹规划监督</w:t>
      </w:r>
      <w:bookmarkEnd w:id="357"/>
    </w:p>
    <w:p>
      <w:pPr>
        <w:pStyle w:val="85"/>
        <w:keepNext w:val="0"/>
        <w:keepLines w:val="0"/>
        <w:pageBreakBefore w:val="0"/>
        <w:widowControl w:val="0"/>
        <w:tabs>
          <w:tab w:val="left" w:pos="0"/>
          <w:tab w:val="clear" w:pos="420"/>
        </w:tabs>
        <w:kinsoku/>
        <w:wordWrap/>
        <w:overflowPunct/>
        <w:topLinePunct w:val="0"/>
        <w:bidi w:val="0"/>
        <w:snapToGrid/>
        <w:spacing w:before="0" w:beforeLines="0" w:after="0" w:afterLines="0" w:line="579" w:lineRule="exact"/>
        <w:ind w:left="198" w:leftChars="0" w:firstLine="0" w:firstLineChars="0"/>
        <w:textAlignment w:val="auto"/>
        <w:rPr>
          <w:rFonts w:hint="eastAsia"/>
          <w:b w:val="0"/>
          <w:bCs w:val="0"/>
          <w:sz w:val="32"/>
          <w:szCs w:val="32"/>
          <w:u w:val="none"/>
          <w:lang w:val="en-US"/>
        </w:rPr>
      </w:pPr>
      <w:bookmarkStart w:id="358" w:name="_Toc11839"/>
      <w:bookmarkStart w:id="359" w:name="_Toc137048225"/>
      <w:bookmarkStart w:id="360" w:name="_Toc138868505"/>
      <w:r>
        <w:rPr>
          <w:rFonts w:hint="eastAsia"/>
          <w:b w:val="0"/>
          <w:bCs w:val="0"/>
          <w:sz w:val="32"/>
          <w:szCs w:val="32"/>
          <w:u w:val="none"/>
          <w:lang w:val="en-US"/>
        </w:rPr>
        <w:t>健全规划编制与实施全过程监督</w:t>
      </w:r>
      <w:bookmarkEnd w:id="358"/>
      <w:bookmarkEnd w:id="359"/>
      <w:bookmarkEnd w:id="360"/>
    </w:p>
    <w:p>
      <w:pPr>
        <w:keepNext w:val="0"/>
        <w:keepLines w:val="0"/>
        <w:pageBreakBefore w:val="0"/>
        <w:widowControl w:val="0"/>
        <w:kinsoku/>
        <w:wordWrap/>
        <w:overflowPunct/>
        <w:topLinePunct w:val="0"/>
        <w:bidi w:val="0"/>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充分发挥市人大、政协以及公众对于规划编制审批、规划实施的监督检查作用，切实</w:t>
      </w:r>
      <w:r>
        <w:rPr>
          <w:rFonts w:ascii="仿宋_GB2312" w:hAnsi="仿宋" w:cs="Times New Roman"/>
          <w:b w:val="0"/>
          <w:bCs w:val="0"/>
          <w:kern w:val="0"/>
          <w:sz w:val="32"/>
          <w:szCs w:val="32"/>
          <w:u w:val="none"/>
        </w:rPr>
        <w:t>发挥市</w:t>
      </w:r>
      <w:r>
        <w:rPr>
          <w:rFonts w:hint="eastAsia" w:ascii="仿宋_GB2312" w:hAnsi="仿宋" w:cs="Times New Roman"/>
          <w:b w:val="0"/>
          <w:bCs w:val="0"/>
          <w:kern w:val="0"/>
          <w:sz w:val="32"/>
          <w:szCs w:val="32"/>
          <w:u w:val="none"/>
        </w:rPr>
        <w:t>国土空间</w:t>
      </w:r>
      <w:r>
        <w:rPr>
          <w:rFonts w:ascii="仿宋_GB2312" w:hAnsi="仿宋" w:cs="Times New Roman"/>
          <w:b w:val="0"/>
          <w:bCs w:val="0"/>
          <w:kern w:val="0"/>
          <w:sz w:val="32"/>
          <w:szCs w:val="32"/>
          <w:u w:val="none"/>
        </w:rPr>
        <w:t>规划委员会</w:t>
      </w:r>
      <w:r>
        <w:rPr>
          <w:rFonts w:hint="eastAsia" w:ascii="仿宋_GB2312" w:hAnsi="仿宋" w:cs="Times New Roman"/>
          <w:b w:val="0"/>
          <w:bCs w:val="0"/>
          <w:kern w:val="0"/>
          <w:sz w:val="32"/>
          <w:szCs w:val="32"/>
          <w:u w:val="none"/>
        </w:rPr>
        <w:t>（以下简称市规委会）及秘书处</w:t>
      </w:r>
      <w:r>
        <w:rPr>
          <w:rFonts w:ascii="仿宋_GB2312" w:hAnsi="仿宋" w:cs="Times New Roman"/>
          <w:b w:val="0"/>
          <w:bCs w:val="0"/>
          <w:kern w:val="0"/>
          <w:sz w:val="32"/>
          <w:szCs w:val="32"/>
          <w:u w:val="none"/>
        </w:rPr>
        <w:t>职能，加强</w:t>
      </w:r>
      <w:r>
        <w:rPr>
          <w:rFonts w:hint="eastAsia" w:ascii="仿宋_GB2312" w:hAnsi="仿宋" w:cs="Times New Roman"/>
          <w:b w:val="0"/>
          <w:bCs w:val="0"/>
          <w:kern w:val="0"/>
          <w:sz w:val="32"/>
          <w:szCs w:val="32"/>
          <w:u w:val="none"/>
        </w:rPr>
        <w:t>市规委会对</w:t>
      </w:r>
      <w:r>
        <w:rPr>
          <w:rFonts w:ascii="仿宋_GB2312" w:hAnsi="仿宋" w:cs="Times New Roman"/>
          <w:b w:val="0"/>
          <w:bCs w:val="0"/>
          <w:kern w:val="0"/>
          <w:sz w:val="32"/>
          <w:szCs w:val="32"/>
          <w:u w:val="none"/>
        </w:rPr>
        <w:t>全市</w:t>
      </w:r>
      <w:r>
        <w:rPr>
          <w:rFonts w:hint="eastAsia" w:ascii="仿宋_GB2312" w:hAnsi="仿宋" w:cs="Times New Roman"/>
          <w:b w:val="0"/>
          <w:bCs w:val="0"/>
          <w:kern w:val="0"/>
          <w:sz w:val="32"/>
          <w:szCs w:val="32"/>
          <w:u w:val="none"/>
        </w:rPr>
        <w:t>国土空间</w:t>
      </w:r>
      <w:r>
        <w:rPr>
          <w:rFonts w:ascii="仿宋_GB2312" w:hAnsi="仿宋" w:cs="Times New Roman"/>
          <w:b w:val="0"/>
          <w:bCs w:val="0"/>
          <w:kern w:val="0"/>
          <w:sz w:val="32"/>
          <w:szCs w:val="32"/>
          <w:u w:val="none"/>
        </w:rPr>
        <w:t>规划、重大项目、重大政策</w:t>
      </w:r>
      <w:r>
        <w:rPr>
          <w:rFonts w:hint="eastAsia" w:ascii="仿宋_GB2312" w:hAnsi="仿宋" w:cs="Times New Roman"/>
          <w:b w:val="0"/>
          <w:bCs w:val="0"/>
          <w:kern w:val="0"/>
          <w:sz w:val="32"/>
          <w:szCs w:val="32"/>
          <w:u w:val="none"/>
        </w:rPr>
        <w:t>“会前、会中、会后”的审查审议。加</w:t>
      </w:r>
      <w:r>
        <w:rPr>
          <w:rFonts w:ascii="仿宋_GB2312" w:hAnsi="仿宋" w:cs="Times New Roman"/>
          <w:b w:val="0"/>
          <w:bCs w:val="0"/>
          <w:kern w:val="0"/>
          <w:sz w:val="32"/>
          <w:szCs w:val="32"/>
          <w:u w:val="none"/>
        </w:rPr>
        <w:t>大对规划编制、规划实施、规划监督全链条管理的指导</w:t>
      </w:r>
      <w:r>
        <w:rPr>
          <w:rFonts w:hint="eastAsia" w:ascii="仿宋_GB2312" w:hAnsi="仿宋" w:cs="Times New Roman"/>
          <w:b w:val="0"/>
          <w:bCs w:val="0"/>
          <w:kern w:val="0"/>
          <w:sz w:val="32"/>
          <w:szCs w:val="32"/>
          <w:u w:val="none"/>
        </w:rPr>
        <w:t>督察</w:t>
      </w:r>
      <w:r>
        <w:rPr>
          <w:rFonts w:ascii="仿宋_GB2312" w:hAnsi="仿宋" w:cs="Times New Roman"/>
          <w:b w:val="0"/>
          <w:bCs w:val="0"/>
          <w:kern w:val="0"/>
          <w:sz w:val="32"/>
          <w:szCs w:val="32"/>
          <w:u w:val="none"/>
        </w:rPr>
        <w:t>协调。</w:t>
      </w:r>
    </w:p>
    <w:p>
      <w:pPr>
        <w:keepNext w:val="0"/>
        <w:keepLines w:val="0"/>
        <w:pageBreakBefore w:val="0"/>
        <w:widowControl w:val="0"/>
        <w:kinsoku/>
        <w:wordWrap/>
        <w:overflowPunct/>
        <w:topLinePunct w:val="0"/>
        <w:bidi w:val="0"/>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建立健全国土空间规划动态监测评估预警和实施监管机制。落实“一年一体检、五年一评估”的体检评估机制，动态完善国土空间规划编制成果。</w:t>
      </w:r>
    </w:p>
    <w:p>
      <w:pPr>
        <w:pStyle w:val="85"/>
        <w:keepNext w:val="0"/>
        <w:keepLines w:val="0"/>
        <w:pageBreakBefore w:val="0"/>
        <w:widowControl w:val="0"/>
        <w:tabs>
          <w:tab w:val="left" w:pos="0"/>
          <w:tab w:val="clear" w:pos="420"/>
        </w:tabs>
        <w:kinsoku/>
        <w:wordWrap/>
        <w:overflowPunct/>
        <w:topLinePunct w:val="0"/>
        <w:bidi w:val="0"/>
        <w:snapToGrid/>
        <w:spacing w:before="0" w:beforeLines="0" w:after="0" w:afterLines="0" w:line="579" w:lineRule="exact"/>
        <w:ind w:left="198" w:leftChars="0" w:firstLine="0" w:firstLineChars="0"/>
        <w:textAlignment w:val="auto"/>
        <w:rPr>
          <w:rFonts w:hint="eastAsia"/>
          <w:b w:val="0"/>
          <w:bCs w:val="0"/>
          <w:sz w:val="32"/>
          <w:szCs w:val="32"/>
          <w:u w:val="none"/>
          <w:lang w:val="en-US"/>
        </w:rPr>
      </w:pPr>
      <w:bookmarkStart w:id="361" w:name="_Toc15517"/>
      <w:r>
        <w:rPr>
          <w:rFonts w:hint="eastAsia"/>
          <w:b w:val="0"/>
          <w:bCs w:val="0"/>
          <w:sz w:val="32"/>
          <w:szCs w:val="32"/>
          <w:u w:val="none"/>
          <w:lang w:val="en-US"/>
        </w:rPr>
        <w:t>建立绩效考核与责任追究机制</w:t>
      </w:r>
      <w:bookmarkEnd w:id="361"/>
    </w:p>
    <w:p>
      <w:pPr>
        <w:keepNext w:val="0"/>
        <w:keepLines w:val="0"/>
        <w:pageBreakBefore w:val="0"/>
        <w:widowControl w:val="0"/>
        <w:kinsoku/>
        <w:wordWrap/>
        <w:overflowPunct/>
        <w:topLinePunct w:val="0"/>
        <w:bidi w:val="0"/>
        <w:snapToGrid/>
        <w:spacing w:line="579" w:lineRule="exact"/>
        <w:ind w:firstLine="600"/>
        <w:textAlignment w:val="auto"/>
        <w:rPr>
          <w:rFonts w:ascii="仿宋_GB2312" w:hAnsi="仿宋" w:cs="Times New Roman"/>
          <w:b w:val="0"/>
          <w:bCs w:val="0"/>
          <w:kern w:val="0"/>
          <w:sz w:val="32"/>
          <w:szCs w:val="32"/>
          <w:u w:val="none"/>
        </w:rPr>
      </w:pPr>
      <w:r>
        <w:rPr>
          <w:rFonts w:hint="eastAsia" w:ascii="仿宋_GB2312" w:hAnsi="仿宋" w:cs="Times New Roman"/>
          <w:b w:val="0"/>
          <w:bCs w:val="0"/>
          <w:kern w:val="0"/>
          <w:sz w:val="32"/>
          <w:szCs w:val="32"/>
          <w:u w:val="none"/>
        </w:rPr>
        <w:t>建立国土空间规划实施监督考核制度。市审计部门将国土空间规划执行情况纳入领导干部自然资源离任审计。市组织部门将国土空间规划的培训和执行情况纳入党政领导干部综合考核评价体系。纪检监察机关加强对规划编制与管理违法违规行为的责任追究。</w:t>
      </w:r>
    </w:p>
    <w:p>
      <w:pPr>
        <w:pStyle w:val="81"/>
        <w:keepNext w:val="0"/>
        <w:keepLines w:val="0"/>
        <w:pageBreakBefore w:val="0"/>
        <w:widowControl w:val="0"/>
        <w:numPr>
          <w:ilvl w:val="0"/>
          <w:numId w:val="15"/>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362" w:name="_Toc20051"/>
      <w:r>
        <w:rPr>
          <w:rFonts w:hint="eastAsia"/>
          <w:b w:val="0"/>
          <w:bCs w:val="0"/>
          <w:sz w:val="32"/>
          <w:szCs w:val="32"/>
          <w:u w:val="none"/>
        </w:rPr>
        <w:t>片区规划指引</w:t>
      </w:r>
      <w:bookmarkEnd w:id="362"/>
    </w:p>
    <w:p>
      <w:pPr>
        <w:pStyle w:val="85"/>
        <w:keepNext w:val="0"/>
        <w:keepLines w:val="0"/>
        <w:pageBreakBefore w:val="0"/>
        <w:widowControl w:val="0"/>
        <w:tabs>
          <w:tab w:val="left" w:pos="0"/>
          <w:tab w:val="clear" w:pos="420"/>
        </w:tabs>
        <w:kinsoku/>
        <w:wordWrap/>
        <w:overflowPunct/>
        <w:topLinePunct w:val="0"/>
        <w:bidi w:val="0"/>
        <w:snapToGrid/>
        <w:spacing w:before="0" w:beforeLines="0" w:after="0" w:afterLines="0" w:line="579" w:lineRule="exact"/>
        <w:ind w:left="198" w:leftChars="0" w:firstLine="0" w:firstLineChars="0"/>
        <w:textAlignment w:val="auto"/>
        <w:rPr>
          <w:rFonts w:hint="eastAsia"/>
          <w:b w:val="0"/>
          <w:bCs w:val="0"/>
          <w:sz w:val="32"/>
          <w:szCs w:val="32"/>
          <w:u w:val="none"/>
          <w:lang w:val="en-US"/>
        </w:rPr>
      </w:pPr>
      <w:bookmarkStart w:id="363" w:name="_Toc8240"/>
      <w:r>
        <w:rPr>
          <w:rFonts w:hint="eastAsia"/>
          <w:b w:val="0"/>
          <w:bCs w:val="0"/>
          <w:sz w:val="32"/>
          <w:szCs w:val="32"/>
          <w:u w:val="none"/>
          <w:lang w:val="en-US"/>
        </w:rPr>
        <w:t>加强片区指引</w:t>
      </w:r>
      <w:bookmarkEnd w:id="363"/>
    </w:p>
    <w:p>
      <w:pPr>
        <w:keepNext w:val="0"/>
        <w:keepLines w:val="0"/>
        <w:pageBreakBefore w:val="0"/>
        <w:widowControl w:val="0"/>
        <w:kinsoku/>
        <w:wordWrap/>
        <w:overflowPunct/>
        <w:topLinePunct w:val="0"/>
        <w:bidi w:val="0"/>
        <w:snapToGrid/>
        <w:spacing w:line="579" w:lineRule="exact"/>
        <w:ind w:firstLine="600"/>
        <w:textAlignment w:val="auto"/>
        <w:rPr>
          <w:rFonts w:cs="Times New Roman"/>
          <w:b w:val="0"/>
          <w:bCs w:val="0"/>
          <w:sz w:val="32"/>
          <w:szCs w:val="32"/>
          <w:u w:val="none"/>
        </w:rPr>
      </w:pPr>
      <w:r>
        <w:rPr>
          <w:rFonts w:hint="eastAsia" w:ascii="仿宋_GB2312" w:hAnsi="仿宋" w:cs="宋体"/>
          <w:b w:val="0"/>
          <w:bCs w:val="0"/>
          <w:sz w:val="32"/>
          <w:szCs w:val="32"/>
          <w:u w:val="none"/>
        </w:rPr>
        <w:t>分区规划应落实市级总规确定的职能定位、底线约束和空间指引，细化空间分区和管控要求</w:t>
      </w:r>
      <w:r>
        <w:rPr>
          <w:rFonts w:ascii="仿宋_GB2312" w:hAnsi="仿宋" w:cs="Times New Roman"/>
          <w:b w:val="0"/>
          <w:bCs w:val="0"/>
          <w:kern w:val="0"/>
          <w:sz w:val="32"/>
          <w:szCs w:val="32"/>
          <w:u w:val="none"/>
        </w:rPr>
        <w:t>。</w:t>
      </w:r>
    </w:p>
    <w:p>
      <w:pPr>
        <w:pStyle w:val="81"/>
        <w:keepNext w:val="0"/>
        <w:keepLines w:val="0"/>
        <w:pageBreakBefore w:val="0"/>
        <w:widowControl w:val="0"/>
        <w:numPr>
          <w:ilvl w:val="0"/>
          <w:numId w:val="15"/>
        </w:numPr>
        <w:tabs>
          <w:tab w:val="left" w:pos="0"/>
          <w:tab w:val="clear" w:pos="420"/>
        </w:tabs>
        <w:kinsoku/>
        <w:wordWrap/>
        <w:overflowPunct/>
        <w:topLinePunct w:val="0"/>
        <w:autoSpaceDE/>
        <w:autoSpaceDN/>
        <w:bidi w:val="0"/>
        <w:adjustRightInd/>
        <w:snapToGrid/>
        <w:spacing w:before="470" w:beforeLines="80" w:after="470" w:afterLines="80" w:line="579" w:lineRule="exact"/>
        <w:textAlignment w:val="auto"/>
        <w:rPr>
          <w:rFonts w:hint="eastAsia"/>
          <w:b w:val="0"/>
          <w:bCs w:val="0"/>
          <w:sz w:val="32"/>
          <w:szCs w:val="32"/>
          <w:u w:val="none"/>
        </w:rPr>
      </w:pPr>
      <w:bookmarkStart w:id="364" w:name="_Toc138985077"/>
      <w:bookmarkStart w:id="365" w:name="_Toc7500"/>
      <w:r>
        <w:rPr>
          <w:rFonts w:hint="eastAsia"/>
          <w:b w:val="0"/>
          <w:bCs w:val="0"/>
          <w:sz w:val="32"/>
          <w:szCs w:val="32"/>
          <w:u w:val="none"/>
        </w:rPr>
        <w:t>近期行动计划</w:t>
      </w:r>
      <w:bookmarkEnd w:id="364"/>
      <w:bookmarkEnd w:id="365"/>
    </w:p>
    <w:p>
      <w:pPr>
        <w:pStyle w:val="85"/>
        <w:keepNext w:val="0"/>
        <w:keepLines w:val="0"/>
        <w:pageBreakBefore w:val="0"/>
        <w:widowControl w:val="0"/>
        <w:tabs>
          <w:tab w:val="left" w:pos="0"/>
          <w:tab w:val="clear" w:pos="420"/>
        </w:tabs>
        <w:kinsoku/>
        <w:wordWrap/>
        <w:overflowPunct/>
        <w:topLinePunct w:val="0"/>
        <w:bidi w:val="0"/>
        <w:snapToGrid/>
        <w:spacing w:before="0" w:beforeLines="0" w:after="0" w:afterLines="0" w:line="579" w:lineRule="exact"/>
        <w:ind w:left="198" w:leftChars="0" w:firstLine="0" w:firstLineChars="0"/>
        <w:textAlignment w:val="auto"/>
        <w:rPr>
          <w:b w:val="0"/>
          <w:bCs w:val="0"/>
          <w:sz w:val="32"/>
          <w:szCs w:val="32"/>
          <w:u w:val="none"/>
          <w:lang w:val="en-US"/>
        </w:rPr>
      </w:pPr>
      <w:bookmarkStart w:id="366" w:name="_Toc138985078"/>
      <w:bookmarkStart w:id="367" w:name="_Toc30408"/>
      <w:r>
        <w:rPr>
          <w:rFonts w:hint="eastAsia"/>
          <w:b w:val="0"/>
          <w:bCs w:val="0"/>
          <w:sz w:val="32"/>
          <w:szCs w:val="32"/>
          <w:u w:val="none"/>
          <w:lang w:val="en-US"/>
        </w:rPr>
        <w:t>交通引领行动</w:t>
      </w:r>
      <w:bookmarkEnd w:id="366"/>
      <w:bookmarkEnd w:id="367"/>
    </w:p>
    <w:p>
      <w:pPr>
        <w:keepNext w:val="0"/>
        <w:keepLines w:val="0"/>
        <w:pageBreakBefore w:val="0"/>
        <w:widowControl w:val="0"/>
        <w:kinsoku/>
        <w:wordWrap/>
        <w:overflowPunct/>
        <w:topLinePunct w:val="0"/>
        <w:bidi w:val="0"/>
        <w:snapToGrid/>
        <w:spacing w:line="579" w:lineRule="exact"/>
        <w:ind w:firstLine="600"/>
        <w:textAlignment w:val="auto"/>
        <w:rPr>
          <w:b w:val="0"/>
          <w:bCs w:val="0"/>
          <w:sz w:val="32"/>
          <w:szCs w:val="32"/>
          <w:u w:val="none"/>
        </w:rPr>
      </w:pPr>
      <w:r>
        <w:rPr>
          <w:rFonts w:hint="eastAsia" w:ascii="仿宋_GB2312"/>
          <w:b w:val="0"/>
          <w:bCs w:val="0"/>
          <w:sz w:val="32"/>
          <w:szCs w:val="32"/>
          <w:u w:val="none"/>
        </w:rPr>
        <w:t>以“破末端局、畅连东西、服务城市产业”为近期交通发展导向，全力提升双港（珠海机场、珠海港）能级，推进区域铁路及其综合枢纽建设，完善“对接深中</w:t>
      </w:r>
      <w:r>
        <w:rPr>
          <w:rFonts w:hint="eastAsia"/>
          <w:b w:val="0"/>
          <w:bCs w:val="0"/>
          <w:sz w:val="32"/>
          <w:szCs w:val="32"/>
          <w:u w:val="none"/>
        </w:rPr>
        <w:t>通道</w:t>
      </w:r>
      <w:r>
        <w:rPr>
          <w:rFonts w:hint="eastAsia" w:ascii="仿宋_GB2312"/>
          <w:b w:val="0"/>
          <w:bCs w:val="0"/>
          <w:sz w:val="32"/>
          <w:szCs w:val="32"/>
          <w:u w:val="none"/>
        </w:rPr>
        <w:t>、对接港珠澳大桥”两条战略通道高快速路体系，实现与湾区城市直连直通。积极推进市域轨道环线建设及公交化运营工作，建设东、西部城区快速环线，完善中心城区骨架路网，实现东西城区高效连通。积极推进市域骨干通道建设，提升改造已建骨干道路通行能力，服务城市</w:t>
      </w:r>
      <w:r>
        <w:rPr>
          <w:rFonts w:hint="eastAsia" w:ascii="仿宋_GB2312"/>
          <w:b w:val="0"/>
          <w:bCs w:val="0"/>
          <w:spacing w:val="-6"/>
          <w:sz w:val="32"/>
          <w:szCs w:val="32"/>
          <w:u w:val="none"/>
        </w:rPr>
        <w:t>生活、生产出行需求，支撑产业园区高质量建设，详见专栏</w:t>
      </w:r>
      <w:r>
        <w:rPr>
          <w:rFonts w:hint="eastAsia"/>
          <w:b w:val="0"/>
          <w:bCs w:val="0"/>
          <w:spacing w:val="-6"/>
          <w:sz w:val="32"/>
          <w:szCs w:val="32"/>
          <w:u w:val="none"/>
        </w:rPr>
        <w:t>1</w:t>
      </w:r>
      <w:r>
        <w:rPr>
          <w:b w:val="0"/>
          <w:bCs w:val="0"/>
          <w:spacing w:val="-6"/>
          <w:sz w:val="32"/>
          <w:szCs w:val="32"/>
          <w:u w:val="none"/>
        </w:rPr>
        <w:t>5</w:t>
      </w:r>
      <w:r>
        <w:rPr>
          <w:rFonts w:hint="eastAsia" w:ascii="仿宋_GB2312"/>
          <w:b w:val="0"/>
          <w:bCs w:val="0"/>
          <w:spacing w:val="-6"/>
          <w:sz w:val="32"/>
          <w:szCs w:val="32"/>
          <w:u w:val="none"/>
        </w:rPr>
        <w:t>-</w:t>
      </w:r>
      <w:r>
        <w:rPr>
          <w:b w:val="0"/>
          <w:bCs w:val="0"/>
          <w:spacing w:val="-6"/>
          <w:sz w:val="32"/>
          <w:szCs w:val="32"/>
          <w:u w:val="none"/>
        </w:rPr>
        <w:t>1</w:t>
      </w:r>
      <w:r>
        <w:rPr>
          <w:rFonts w:hint="eastAsia" w:ascii="仿宋_GB2312"/>
          <w:b w:val="0"/>
          <w:bCs w:val="0"/>
          <w:spacing w:val="-6"/>
          <w:sz w:val="32"/>
          <w:szCs w:val="32"/>
          <w:u w:val="none"/>
        </w:rPr>
        <w:t>。</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8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288" w:type="dxa"/>
            <w:gridSpan w:val="2"/>
            <w:shd w:val="clear" w:color="auto" w:fill="D9D9D9"/>
            <w:noWrap w:val="0"/>
            <w:vAlign w:val="center"/>
          </w:tcPr>
          <w:p>
            <w:pPr>
              <w:spacing w:before="46" w:after="46"/>
              <w:ind w:firstLine="0" w:firstLineChars="0"/>
              <w:jc w:val="center"/>
              <w:rPr>
                <w:rFonts w:hint="eastAsia"/>
                <w:b w:val="0"/>
                <w:bCs w:val="0"/>
                <w:u w:val="none"/>
              </w:rPr>
            </w:pPr>
            <w:r>
              <w:rPr>
                <w:rFonts w:hint="eastAsia" w:eastAsia="黑体" w:cs="Times New Roman"/>
                <w:b w:val="0"/>
                <w:bCs w:val="0"/>
                <w:kern w:val="0"/>
                <w:u w:val="none"/>
              </w:rPr>
              <w:t>专栏</w:t>
            </w:r>
            <w:r>
              <w:rPr>
                <w:rFonts w:eastAsia="黑体" w:cs="Times New Roman"/>
                <w:b w:val="0"/>
                <w:bCs w:val="0"/>
                <w:kern w:val="0"/>
                <w:u w:val="none"/>
              </w:rPr>
              <w:t>15-1：</w:t>
            </w:r>
            <w:r>
              <w:rPr>
                <w:rFonts w:hint="eastAsia" w:eastAsia="黑体" w:cs="Times New Roman"/>
                <w:b w:val="0"/>
                <w:bCs w:val="0"/>
                <w:kern w:val="0"/>
                <w:u w:val="none"/>
              </w:rPr>
              <w:t>综合交通近期建设任务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282" w:type="dxa"/>
            <w:noWrap w:val="0"/>
            <w:vAlign w:val="center"/>
          </w:tcPr>
          <w:p>
            <w:pPr>
              <w:pStyle w:val="8"/>
              <w:rPr>
                <w:b w:val="0"/>
                <w:bCs w:val="0"/>
                <w:u w:val="none"/>
              </w:rPr>
            </w:pPr>
            <w:r>
              <w:rPr>
                <w:rFonts w:hint="eastAsia"/>
                <w:b w:val="0"/>
                <w:bCs w:val="0"/>
                <w:u w:val="none"/>
              </w:rPr>
              <w:t>类别</w:t>
            </w:r>
          </w:p>
        </w:tc>
        <w:tc>
          <w:tcPr>
            <w:tcW w:w="8006" w:type="dxa"/>
            <w:noWrap w:val="0"/>
            <w:vAlign w:val="center"/>
          </w:tcPr>
          <w:p>
            <w:pPr>
              <w:pStyle w:val="8"/>
              <w:rPr>
                <w:b w:val="0"/>
                <w:bCs w:val="0"/>
                <w:u w:val="none"/>
              </w:rPr>
            </w:pPr>
            <w:r>
              <w:rPr>
                <w:rFonts w:hint="eastAsia"/>
                <w:b w:val="0"/>
                <w:bCs w:val="0"/>
                <w:u w:val="none"/>
              </w:rPr>
              <w:t>近期任务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282" w:type="dxa"/>
            <w:noWrap w:val="0"/>
            <w:vAlign w:val="center"/>
          </w:tcPr>
          <w:p>
            <w:pPr>
              <w:pStyle w:val="8"/>
              <w:rPr>
                <w:b w:val="0"/>
                <w:bCs w:val="0"/>
                <w:u w:val="none"/>
              </w:rPr>
            </w:pPr>
            <w:r>
              <w:rPr>
                <w:rFonts w:hint="eastAsia"/>
                <w:b w:val="0"/>
                <w:bCs w:val="0"/>
                <w:u w:val="none"/>
              </w:rPr>
              <w:t>破末端局</w:t>
            </w:r>
          </w:p>
        </w:tc>
        <w:tc>
          <w:tcPr>
            <w:tcW w:w="8006" w:type="dxa"/>
            <w:noWrap w:val="0"/>
            <w:vAlign w:val="center"/>
          </w:tcPr>
          <w:p>
            <w:pPr>
              <w:widowControl/>
              <w:ind w:firstLine="0" w:firstLineChars="0"/>
              <w:rPr>
                <w:b w:val="0"/>
                <w:bCs w:val="0"/>
                <w:u w:val="none"/>
              </w:rPr>
            </w:pPr>
            <w:r>
              <w:rPr>
                <w:rFonts w:hint="eastAsia" w:cs="Times New Roman"/>
                <w:b w:val="0"/>
                <w:bCs w:val="0"/>
                <w:color w:val="000000"/>
                <w:kern w:val="0"/>
                <w:sz w:val="24"/>
                <w:szCs w:val="24"/>
                <w:u w:val="none"/>
              </w:rPr>
              <w:t>推进珠海机场改扩建、综合交通枢纽、滑跑系统、T2航站楼、空港国际智慧物流园等工程建设，加快启动第二跑道、新航站区前期工作，积极争取开通国际口岸，推进机场北路南延段等集疏运体系建设。</w:t>
            </w:r>
          </w:p>
          <w:p>
            <w:pPr>
              <w:pStyle w:val="61"/>
              <w:ind w:firstLine="0" w:firstLineChars="0"/>
              <w:rPr>
                <w:b w:val="0"/>
                <w:bCs w:val="0"/>
                <w:u w:val="none"/>
              </w:rPr>
            </w:pPr>
            <w:r>
              <w:rPr>
                <w:rFonts w:hint="eastAsia"/>
                <w:b w:val="0"/>
                <w:bCs w:val="0"/>
                <w:u w:val="none"/>
              </w:rPr>
              <w:t>完成高栏港集装箱码头三期和航道扩建等工程，积极推进高栏港快线、金港大桥等疏港通道建设，提升珠海港货运吞吐能力和服务水平。</w:t>
            </w:r>
          </w:p>
          <w:p>
            <w:pPr>
              <w:pStyle w:val="61"/>
              <w:ind w:firstLine="0" w:firstLineChars="0"/>
              <w:rPr>
                <w:b w:val="0"/>
                <w:bCs w:val="0"/>
                <w:u w:val="none"/>
              </w:rPr>
            </w:pPr>
            <w:r>
              <w:rPr>
                <w:rFonts w:hint="eastAsia"/>
                <w:b w:val="0"/>
                <w:bCs w:val="0"/>
                <w:u w:val="none"/>
              </w:rPr>
              <w:t>推进珠肇高铁、广珠（澳）高铁等区域铁路建设，开展深珠铁路（伶仃洋通道）前期研究工作，启动珠海中心站（鹤洲）、珠海北站、金湾站等枢纽建设。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282" w:type="dxa"/>
            <w:noWrap w:val="0"/>
            <w:vAlign w:val="center"/>
          </w:tcPr>
          <w:p>
            <w:pPr>
              <w:pStyle w:val="8"/>
              <w:rPr>
                <w:b w:val="0"/>
                <w:bCs w:val="0"/>
                <w:u w:val="none"/>
              </w:rPr>
            </w:pPr>
            <w:r>
              <w:rPr>
                <w:rFonts w:hint="eastAsia"/>
                <w:b w:val="0"/>
                <w:bCs w:val="0"/>
                <w:u w:val="none"/>
              </w:rPr>
              <w:t>畅连东西</w:t>
            </w:r>
          </w:p>
        </w:tc>
        <w:tc>
          <w:tcPr>
            <w:tcW w:w="8006" w:type="dxa"/>
            <w:noWrap w:val="0"/>
            <w:vAlign w:val="center"/>
          </w:tcPr>
          <w:p>
            <w:pPr>
              <w:pStyle w:val="61"/>
              <w:ind w:firstLine="0" w:firstLineChars="0"/>
              <w:rPr>
                <w:b w:val="0"/>
                <w:bCs w:val="0"/>
                <w:u w:val="none"/>
              </w:rPr>
            </w:pPr>
            <w:r>
              <w:rPr>
                <w:rFonts w:hint="eastAsia"/>
                <w:b w:val="0"/>
                <w:bCs w:val="0"/>
                <w:u w:val="none"/>
              </w:rPr>
              <w:t>加快推进黄茅海通道、金琴快线北延、兴业快线、珠海隧道、珠海大道改扩建等工程建设，启动珠峰大道快速化改造、机场东路（金湾立交以北段）建设，建设环岛北路西延线。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282" w:type="dxa"/>
            <w:noWrap w:val="0"/>
            <w:vAlign w:val="center"/>
          </w:tcPr>
          <w:p>
            <w:pPr>
              <w:pStyle w:val="8"/>
              <w:rPr>
                <w:b w:val="0"/>
                <w:bCs w:val="0"/>
                <w:u w:val="none"/>
              </w:rPr>
            </w:pPr>
            <w:r>
              <w:rPr>
                <w:rFonts w:hint="eastAsia"/>
                <w:b w:val="0"/>
                <w:bCs w:val="0"/>
                <w:u w:val="none"/>
              </w:rPr>
              <w:t>服务城市产业</w:t>
            </w:r>
          </w:p>
        </w:tc>
        <w:tc>
          <w:tcPr>
            <w:tcW w:w="8006" w:type="dxa"/>
            <w:noWrap w:val="0"/>
            <w:vAlign w:val="center"/>
          </w:tcPr>
          <w:p>
            <w:pPr>
              <w:pStyle w:val="61"/>
              <w:ind w:firstLine="0" w:firstLineChars="0"/>
              <w:rPr>
                <w:b w:val="0"/>
                <w:bCs w:val="0"/>
                <w:u w:val="none"/>
              </w:rPr>
            </w:pPr>
            <w:r>
              <w:rPr>
                <w:rFonts w:hint="eastAsia"/>
                <w:b w:val="0"/>
                <w:bCs w:val="0"/>
                <w:u w:val="none"/>
              </w:rPr>
              <w:t>积极推进横琴第三通道、金溪大道、莲鹤大道等骨干通道建设，推进人民路、九洲大道等骨干道路提升改造工作以及三溪大道、呈祥路、平华大道东延等通道建设。</w:t>
            </w:r>
          </w:p>
        </w:tc>
      </w:tr>
    </w:tbl>
    <w:p>
      <w:pPr>
        <w:pStyle w:val="85"/>
        <w:keepNext w:val="0"/>
        <w:keepLines w:val="0"/>
        <w:pageBreakBefore w:val="0"/>
        <w:widowControl w:val="0"/>
        <w:tabs>
          <w:tab w:val="left" w:pos="0"/>
          <w:tab w:val="clear" w:pos="420"/>
        </w:tabs>
        <w:kinsoku/>
        <w:wordWrap/>
        <w:overflowPunct/>
        <w:topLinePunct w:val="0"/>
        <w:autoSpaceDE/>
        <w:autoSpaceDN/>
        <w:bidi w:val="0"/>
        <w:adjustRightInd/>
        <w:snapToGrid/>
        <w:spacing w:before="0" w:beforeLines="0" w:after="0" w:afterLines="0" w:line="579" w:lineRule="exact"/>
        <w:ind w:left="198" w:leftChars="0" w:firstLine="0" w:firstLineChars="0"/>
        <w:textAlignment w:val="auto"/>
        <w:rPr>
          <w:b w:val="0"/>
          <w:bCs w:val="0"/>
          <w:sz w:val="32"/>
          <w:szCs w:val="32"/>
          <w:u w:val="none"/>
          <w:lang w:val="en-US"/>
        </w:rPr>
      </w:pPr>
      <w:bookmarkStart w:id="368" w:name="_Toc138985079"/>
      <w:bookmarkStart w:id="369" w:name="_Toc15638"/>
      <w:bookmarkStart w:id="370" w:name="_Toc6346"/>
      <w:r>
        <w:rPr>
          <w:rFonts w:hint="eastAsia"/>
          <w:b w:val="0"/>
          <w:bCs w:val="0"/>
          <w:sz w:val="32"/>
          <w:szCs w:val="32"/>
          <w:u w:val="none"/>
          <w:lang w:val="en-US"/>
        </w:rPr>
        <w:t>成片开发行动</w:t>
      </w:r>
      <w:bookmarkEnd w:id="368"/>
      <w:bookmarkEnd w:id="369"/>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按照“成熟一片、开发一片”原则，依托现状开发成熟地区推进连片开发，至</w:t>
      </w:r>
      <w:r>
        <w:rPr>
          <w:rFonts w:hint="eastAsia"/>
          <w:b w:val="0"/>
          <w:bCs w:val="0"/>
          <w:sz w:val="32"/>
          <w:szCs w:val="32"/>
          <w:u w:val="none"/>
        </w:rPr>
        <w:t>2</w:t>
      </w:r>
      <w:r>
        <w:rPr>
          <w:b w:val="0"/>
          <w:bCs w:val="0"/>
          <w:sz w:val="32"/>
          <w:szCs w:val="32"/>
          <w:u w:val="none"/>
        </w:rPr>
        <w:t>025</w:t>
      </w:r>
      <w:r>
        <w:rPr>
          <w:rFonts w:hint="eastAsia" w:ascii="仿宋_GB2312"/>
          <w:b w:val="0"/>
          <w:bCs w:val="0"/>
          <w:sz w:val="32"/>
          <w:szCs w:val="32"/>
          <w:u w:val="none"/>
        </w:rPr>
        <w:t>年建成</w:t>
      </w:r>
      <w:r>
        <w:rPr>
          <w:b w:val="0"/>
          <w:bCs w:val="0"/>
          <w:sz w:val="32"/>
          <w:szCs w:val="32"/>
          <w:u w:val="none"/>
        </w:rPr>
        <w:t>10</w:t>
      </w:r>
      <w:r>
        <w:rPr>
          <w:rFonts w:hint="eastAsia" w:ascii="仿宋_GB2312"/>
          <w:b w:val="0"/>
          <w:bCs w:val="0"/>
          <w:sz w:val="32"/>
          <w:szCs w:val="32"/>
          <w:u w:val="none"/>
        </w:rPr>
        <w:t>个基本城市组团，详见专栏</w:t>
      </w:r>
      <w:r>
        <w:rPr>
          <w:rFonts w:hint="eastAsia"/>
          <w:b w:val="0"/>
          <w:bCs w:val="0"/>
          <w:sz w:val="32"/>
          <w:szCs w:val="32"/>
          <w:u w:val="none"/>
        </w:rPr>
        <w:t>1</w:t>
      </w:r>
      <w:r>
        <w:rPr>
          <w:b w:val="0"/>
          <w:bCs w:val="0"/>
          <w:sz w:val="32"/>
          <w:szCs w:val="32"/>
          <w:u w:val="none"/>
        </w:rPr>
        <w:t>5</w:t>
      </w:r>
      <w:r>
        <w:rPr>
          <w:rFonts w:ascii="仿宋_GB2312"/>
          <w:b w:val="0"/>
          <w:bCs w:val="0"/>
          <w:sz w:val="32"/>
          <w:szCs w:val="32"/>
          <w:u w:val="none"/>
        </w:rPr>
        <w:t>-</w:t>
      </w:r>
      <w:r>
        <w:rPr>
          <w:b w:val="0"/>
          <w:bCs w:val="0"/>
          <w:sz w:val="32"/>
          <w:szCs w:val="32"/>
          <w:u w:val="none"/>
        </w:rPr>
        <w:t>2</w:t>
      </w:r>
      <w:r>
        <w:rPr>
          <w:rFonts w:hint="eastAsia" w:ascii="仿宋_GB2312"/>
          <w:b w:val="0"/>
          <w:bCs w:val="0"/>
          <w:sz w:val="32"/>
          <w:szCs w:val="32"/>
          <w:u w:val="none"/>
        </w:rPr>
        <w:t>。近期全面启动西部市级综合服务中心建设，继续完善东部市级综合服务中心；持续优化金湾片区中心；形成</w:t>
      </w:r>
      <w:r>
        <w:rPr>
          <w:b w:val="0"/>
          <w:bCs w:val="0"/>
          <w:sz w:val="32"/>
          <w:szCs w:val="32"/>
          <w:u w:val="none"/>
        </w:rPr>
        <w:t>11</w:t>
      </w:r>
      <w:r>
        <w:rPr>
          <w:rFonts w:hint="eastAsia" w:ascii="仿宋_GB2312"/>
          <w:b w:val="0"/>
          <w:bCs w:val="0"/>
          <w:sz w:val="32"/>
          <w:szCs w:val="32"/>
          <w:u w:val="none"/>
        </w:rPr>
        <w:t>个基本城市组团中心，其中现状保留</w:t>
      </w:r>
      <w:r>
        <w:rPr>
          <w:rFonts w:hint="eastAsia"/>
          <w:b w:val="0"/>
          <w:bCs w:val="0"/>
          <w:sz w:val="32"/>
          <w:szCs w:val="32"/>
          <w:u w:val="none"/>
        </w:rPr>
        <w:t>7</w:t>
      </w:r>
      <w:r>
        <w:rPr>
          <w:rFonts w:hint="eastAsia" w:ascii="仿宋_GB2312"/>
          <w:b w:val="0"/>
          <w:bCs w:val="0"/>
          <w:sz w:val="32"/>
          <w:szCs w:val="32"/>
          <w:u w:val="none"/>
        </w:rPr>
        <w:t>个，通过城市更新形成</w:t>
      </w:r>
      <w:r>
        <w:rPr>
          <w:rFonts w:hint="eastAsia"/>
          <w:b w:val="0"/>
          <w:bCs w:val="0"/>
          <w:sz w:val="32"/>
          <w:szCs w:val="32"/>
          <w:u w:val="none"/>
        </w:rPr>
        <w:t>2</w:t>
      </w:r>
      <w:r>
        <w:rPr>
          <w:rFonts w:hint="eastAsia" w:ascii="仿宋_GB2312"/>
          <w:b w:val="0"/>
          <w:bCs w:val="0"/>
          <w:sz w:val="32"/>
          <w:szCs w:val="32"/>
          <w:u w:val="none"/>
        </w:rPr>
        <w:t>个，规划新建</w:t>
      </w:r>
      <w:r>
        <w:rPr>
          <w:b w:val="0"/>
          <w:bCs w:val="0"/>
          <w:sz w:val="32"/>
          <w:szCs w:val="32"/>
          <w:u w:val="none"/>
        </w:rPr>
        <w:t>2</w:t>
      </w:r>
      <w:r>
        <w:rPr>
          <w:rFonts w:hint="eastAsia" w:ascii="仿宋_GB2312"/>
          <w:b w:val="0"/>
          <w:bCs w:val="0"/>
          <w:sz w:val="32"/>
          <w:szCs w:val="32"/>
          <w:u w:val="none"/>
        </w:rPr>
        <w:t>个</w:t>
      </w:r>
      <w:r>
        <w:rPr>
          <w:rFonts w:ascii="仿宋_GB2312"/>
          <w:b w:val="0"/>
          <w:bCs w:val="0"/>
          <w:sz w:val="32"/>
          <w:szCs w:val="32"/>
          <w:u w:val="none"/>
        </w:rPr>
        <w:t>。</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4393"/>
        <w:gridCol w:w="3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288" w:type="dxa"/>
            <w:gridSpan w:val="3"/>
            <w:shd w:val="clear" w:color="auto" w:fill="D9D9D9"/>
            <w:noWrap w:val="0"/>
            <w:vAlign w:val="center"/>
          </w:tcPr>
          <w:p>
            <w:pPr>
              <w:spacing w:before="46" w:after="46"/>
              <w:ind w:firstLine="0" w:firstLineChars="0"/>
              <w:jc w:val="center"/>
              <w:rPr>
                <w:rFonts w:hint="eastAsia"/>
                <w:b w:val="0"/>
                <w:bCs w:val="0"/>
                <w:u w:val="none"/>
              </w:rPr>
            </w:pPr>
            <w:r>
              <w:rPr>
                <w:rFonts w:hint="eastAsia" w:eastAsia="黑体" w:cs="Times New Roman"/>
                <w:b w:val="0"/>
                <w:bCs w:val="0"/>
                <w:kern w:val="0"/>
                <w:u w:val="none"/>
              </w:rPr>
              <w:t>专栏</w:t>
            </w:r>
            <w:r>
              <w:rPr>
                <w:rFonts w:eastAsia="黑体" w:cs="Times New Roman"/>
                <w:b w:val="0"/>
                <w:bCs w:val="0"/>
                <w:kern w:val="0"/>
                <w:u w:val="none"/>
              </w:rPr>
              <w:t>15-2：</w:t>
            </w:r>
            <w:r>
              <w:rPr>
                <w:rFonts w:hint="eastAsia" w:eastAsia="黑体" w:cs="Times New Roman"/>
                <w:b w:val="0"/>
                <w:bCs w:val="0"/>
                <w:kern w:val="0"/>
                <w:u w:val="none"/>
              </w:rPr>
              <w:t>近期建成的基本城市组团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243" w:type="dxa"/>
            <w:noWrap w:val="0"/>
            <w:vAlign w:val="center"/>
          </w:tcPr>
          <w:p>
            <w:pPr>
              <w:pStyle w:val="8"/>
              <w:rPr>
                <w:b w:val="0"/>
                <w:bCs w:val="0"/>
                <w:u w:val="none"/>
              </w:rPr>
            </w:pPr>
            <w:r>
              <w:rPr>
                <w:rFonts w:hint="eastAsia"/>
                <w:b w:val="0"/>
                <w:bCs w:val="0"/>
                <w:u w:val="none"/>
              </w:rPr>
              <w:t>类别</w:t>
            </w:r>
          </w:p>
        </w:tc>
        <w:tc>
          <w:tcPr>
            <w:tcW w:w="4393" w:type="dxa"/>
            <w:noWrap w:val="0"/>
            <w:vAlign w:val="center"/>
          </w:tcPr>
          <w:p>
            <w:pPr>
              <w:pStyle w:val="8"/>
              <w:rPr>
                <w:b w:val="0"/>
                <w:bCs w:val="0"/>
                <w:u w:val="none"/>
              </w:rPr>
            </w:pPr>
            <w:r>
              <w:rPr>
                <w:rFonts w:hint="eastAsia"/>
                <w:b w:val="0"/>
                <w:bCs w:val="0"/>
                <w:u w:val="none"/>
              </w:rPr>
              <w:t>现状建成的综合型基本城市组团</w:t>
            </w:r>
          </w:p>
          <w:p>
            <w:pPr>
              <w:pStyle w:val="8"/>
              <w:rPr>
                <w:b w:val="0"/>
                <w:bCs w:val="0"/>
                <w:u w:val="none"/>
              </w:rPr>
            </w:pPr>
            <w:r>
              <w:rPr>
                <w:rFonts w:hint="eastAsia"/>
                <w:b w:val="0"/>
                <w:bCs w:val="0"/>
                <w:u w:val="none"/>
              </w:rPr>
              <w:t>（</w:t>
            </w:r>
            <w:r>
              <w:rPr>
                <w:b w:val="0"/>
                <w:bCs w:val="0"/>
                <w:u w:val="none"/>
              </w:rPr>
              <w:t>4</w:t>
            </w:r>
            <w:r>
              <w:rPr>
                <w:rFonts w:hint="eastAsia"/>
                <w:b w:val="0"/>
                <w:bCs w:val="0"/>
                <w:u w:val="none"/>
              </w:rPr>
              <w:t>个）</w:t>
            </w:r>
          </w:p>
        </w:tc>
        <w:tc>
          <w:tcPr>
            <w:tcW w:w="3652" w:type="dxa"/>
            <w:noWrap w:val="0"/>
            <w:vAlign w:val="center"/>
          </w:tcPr>
          <w:p>
            <w:pPr>
              <w:pStyle w:val="8"/>
              <w:rPr>
                <w:b w:val="0"/>
                <w:bCs w:val="0"/>
                <w:u w:val="none"/>
              </w:rPr>
            </w:pPr>
            <w:r>
              <w:rPr>
                <w:rFonts w:hint="eastAsia"/>
                <w:b w:val="0"/>
                <w:bCs w:val="0"/>
                <w:u w:val="none"/>
              </w:rPr>
              <w:t>近期建设的综合型基本城市组团（</w:t>
            </w:r>
            <w:r>
              <w:rPr>
                <w:b w:val="0"/>
                <w:bCs w:val="0"/>
                <w:u w:val="none"/>
              </w:rPr>
              <w:t>6</w:t>
            </w:r>
            <w:r>
              <w:rPr>
                <w:rFonts w:hint="eastAsia"/>
                <w:b w:val="0"/>
                <w:bCs w:val="0"/>
                <w:u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243" w:type="dxa"/>
            <w:noWrap w:val="0"/>
            <w:vAlign w:val="center"/>
          </w:tcPr>
          <w:p>
            <w:pPr>
              <w:pStyle w:val="8"/>
              <w:rPr>
                <w:b w:val="0"/>
                <w:bCs w:val="0"/>
                <w:u w:val="none"/>
              </w:rPr>
            </w:pPr>
            <w:r>
              <w:rPr>
                <w:rFonts w:hint="eastAsia"/>
                <w:b w:val="0"/>
                <w:bCs w:val="0"/>
                <w:u w:val="none"/>
              </w:rPr>
              <w:t>香洲片区</w:t>
            </w:r>
          </w:p>
        </w:tc>
        <w:tc>
          <w:tcPr>
            <w:tcW w:w="4393" w:type="dxa"/>
            <w:noWrap w:val="0"/>
            <w:vAlign w:val="center"/>
          </w:tcPr>
          <w:p>
            <w:pPr>
              <w:pStyle w:val="8"/>
              <w:rPr>
                <w:b w:val="0"/>
                <w:bCs w:val="0"/>
                <w:u w:val="none"/>
              </w:rPr>
            </w:pPr>
            <w:r>
              <w:rPr>
                <w:rFonts w:hint="eastAsia"/>
                <w:b w:val="0"/>
                <w:bCs w:val="0"/>
                <w:u w:val="none"/>
              </w:rPr>
              <w:t>狮山-香湾、前山、拱北、梅华-翠香</w:t>
            </w:r>
          </w:p>
        </w:tc>
        <w:tc>
          <w:tcPr>
            <w:tcW w:w="3652" w:type="dxa"/>
            <w:noWrap w:val="0"/>
            <w:vAlign w:val="center"/>
          </w:tcPr>
          <w:p>
            <w:pPr>
              <w:pStyle w:val="8"/>
              <w:rPr>
                <w:b w:val="0"/>
                <w:bCs w:val="0"/>
                <w:u w:val="none"/>
              </w:rPr>
            </w:pPr>
            <w:r>
              <w:rPr>
                <w:rFonts w:hint="eastAsia"/>
                <w:b w:val="0"/>
                <w:bCs w:val="0"/>
                <w:u w:val="none"/>
              </w:rPr>
              <w:t>凤山、吉大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243" w:type="dxa"/>
            <w:noWrap w:val="0"/>
            <w:vAlign w:val="center"/>
          </w:tcPr>
          <w:p>
            <w:pPr>
              <w:pStyle w:val="8"/>
              <w:rPr>
                <w:b w:val="0"/>
                <w:bCs w:val="0"/>
                <w:u w:val="none"/>
              </w:rPr>
            </w:pPr>
            <w:r>
              <w:rPr>
                <w:rFonts w:hint="eastAsia"/>
                <w:b w:val="0"/>
                <w:bCs w:val="0"/>
                <w:u w:val="none"/>
              </w:rPr>
              <w:t>高新片区</w:t>
            </w:r>
          </w:p>
        </w:tc>
        <w:tc>
          <w:tcPr>
            <w:tcW w:w="4393" w:type="dxa"/>
            <w:noWrap w:val="0"/>
            <w:vAlign w:val="center"/>
          </w:tcPr>
          <w:p>
            <w:pPr>
              <w:pStyle w:val="8"/>
              <w:rPr>
                <w:b w:val="0"/>
                <w:bCs w:val="0"/>
                <w:u w:val="none"/>
              </w:rPr>
            </w:pPr>
            <w:r>
              <w:rPr>
                <w:rFonts w:hint="eastAsia"/>
                <w:b w:val="0"/>
                <w:bCs w:val="0"/>
                <w:u w:val="none"/>
              </w:rPr>
              <w:t>——</w:t>
            </w:r>
          </w:p>
        </w:tc>
        <w:tc>
          <w:tcPr>
            <w:tcW w:w="3652" w:type="dxa"/>
            <w:noWrap w:val="0"/>
            <w:vAlign w:val="center"/>
          </w:tcPr>
          <w:p>
            <w:pPr>
              <w:pStyle w:val="8"/>
              <w:rPr>
                <w:b w:val="0"/>
                <w:bCs w:val="0"/>
                <w:u w:val="none"/>
              </w:rPr>
            </w:pPr>
            <w:r>
              <w:rPr>
                <w:rFonts w:hint="eastAsia"/>
                <w:b w:val="0"/>
                <w:bCs w:val="0"/>
                <w:u w:val="none"/>
              </w:rPr>
              <w:t>北站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243" w:type="dxa"/>
            <w:noWrap w:val="0"/>
            <w:vAlign w:val="center"/>
          </w:tcPr>
          <w:p>
            <w:pPr>
              <w:pStyle w:val="8"/>
              <w:rPr>
                <w:b w:val="0"/>
                <w:bCs w:val="0"/>
                <w:u w:val="none"/>
              </w:rPr>
            </w:pPr>
            <w:r>
              <w:rPr>
                <w:rFonts w:hint="eastAsia"/>
                <w:b w:val="0"/>
                <w:bCs w:val="0"/>
                <w:u w:val="none"/>
              </w:rPr>
              <w:t>金湾片区</w:t>
            </w:r>
          </w:p>
        </w:tc>
        <w:tc>
          <w:tcPr>
            <w:tcW w:w="4393" w:type="dxa"/>
            <w:noWrap w:val="0"/>
            <w:vAlign w:val="center"/>
          </w:tcPr>
          <w:p>
            <w:pPr>
              <w:pStyle w:val="8"/>
              <w:rPr>
                <w:b w:val="0"/>
                <w:bCs w:val="0"/>
                <w:u w:val="none"/>
              </w:rPr>
            </w:pPr>
            <w:r>
              <w:rPr>
                <w:rFonts w:hint="eastAsia"/>
                <w:b w:val="0"/>
                <w:bCs w:val="0"/>
                <w:u w:val="none"/>
              </w:rPr>
              <w:t>——</w:t>
            </w:r>
          </w:p>
        </w:tc>
        <w:tc>
          <w:tcPr>
            <w:tcW w:w="3652" w:type="dxa"/>
            <w:noWrap w:val="0"/>
            <w:vAlign w:val="center"/>
          </w:tcPr>
          <w:p>
            <w:pPr>
              <w:pStyle w:val="8"/>
              <w:rPr>
                <w:b w:val="0"/>
                <w:bCs w:val="0"/>
                <w:u w:val="none"/>
              </w:rPr>
            </w:pPr>
            <w:r>
              <w:rPr>
                <w:b w:val="0"/>
                <w:bCs w:val="0"/>
                <w:u w:val="none"/>
              </w:rPr>
              <w:t>西城中心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243" w:type="dxa"/>
            <w:noWrap w:val="0"/>
            <w:vAlign w:val="center"/>
          </w:tcPr>
          <w:p>
            <w:pPr>
              <w:pStyle w:val="8"/>
              <w:rPr>
                <w:b w:val="0"/>
                <w:bCs w:val="0"/>
                <w:u w:val="none"/>
              </w:rPr>
            </w:pPr>
            <w:r>
              <w:rPr>
                <w:rFonts w:hint="eastAsia"/>
                <w:b w:val="0"/>
                <w:bCs w:val="0"/>
                <w:u w:val="none"/>
              </w:rPr>
              <w:t>斗门片区</w:t>
            </w:r>
          </w:p>
        </w:tc>
        <w:tc>
          <w:tcPr>
            <w:tcW w:w="4393" w:type="dxa"/>
            <w:noWrap w:val="0"/>
            <w:vAlign w:val="center"/>
          </w:tcPr>
          <w:p>
            <w:pPr>
              <w:pStyle w:val="8"/>
              <w:rPr>
                <w:b w:val="0"/>
                <w:bCs w:val="0"/>
                <w:u w:val="none"/>
              </w:rPr>
            </w:pPr>
            <w:r>
              <w:rPr>
                <w:rFonts w:hint="eastAsia"/>
                <w:b w:val="0"/>
                <w:bCs w:val="0"/>
                <w:u w:val="none"/>
              </w:rPr>
              <w:t>——</w:t>
            </w:r>
          </w:p>
        </w:tc>
        <w:tc>
          <w:tcPr>
            <w:tcW w:w="3652" w:type="dxa"/>
            <w:noWrap w:val="0"/>
            <w:vAlign w:val="center"/>
          </w:tcPr>
          <w:p>
            <w:pPr>
              <w:pStyle w:val="8"/>
              <w:rPr>
                <w:b w:val="0"/>
                <w:bCs w:val="0"/>
                <w:u w:val="none"/>
              </w:rPr>
            </w:pPr>
            <w:r>
              <w:rPr>
                <w:rFonts w:hint="eastAsia"/>
                <w:b w:val="0"/>
                <w:bCs w:val="0"/>
                <w:u w:val="none"/>
              </w:rPr>
              <w:t>富山北、藤山-红旗</w:t>
            </w:r>
          </w:p>
        </w:tc>
      </w:tr>
      <w:bookmarkEnd w:id="370"/>
    </w:tbl>
    <w:p>
      <w:pPr>
        <w:pStyle w:val="85"/>
        <w:keepNext w:val="0"/>
        <w:keepLines w:val="0"/>
        <w:pageBreakBefore w:val="0"/>
        <w:widowControl w:val="0"/>
        <w:tabs>
          <w:tab w:val="left" w:pos="0"/>
          <w:tab w:val="clear" w:pos="420"/>
        </w:tabs>
        <w:kinsoku/>
        <w:wordWrap/>
        <w:overflowPunct/>
        <w:topLinePunct w:val="0"/>
        <w:autoSpaceDE/>
        <w:autoSpaceDN/>
        <w:bidi w:val="0"/>
        <w:adjustRightInd/>
        <w:snapToGrid/>
        <w:spacing w:before="0" w:beforeLines="0" w:after="0" w:afterLines="0" w:line="579" w:lineRule="exact"/>
        <w:ind w:left="198" w:leftChars="0" w:firstLine="0" w:firstLineChars="0"/>
        <w:textAlignment w:val="auto"/>
        <w:rPr>
          <w:rFonts w:hint="eastAsia"/>
          <w:b w:val="0"/>
          <w:bCs w:val="0"/>
          <w:sz w:val="32"/>
          <w:szCs w:val="32"/>
          <w:u w:val="none"/>
          <w:lang w:val="en-US"/>
        </w:rPr>
      </w:pPr>
      <w:bookmarkStart w:id="371" w:name="_Toc138985080"/>
      <w:bookmarkStart w:id="372" w:name="_Toc25175"/>
      <w:r>
        <w:rPr>
          <w:rFonts w:hint="eastAsia"/>
          <w:b w:val="0"/>
          <w:bCs w:val="0"/>
          <w:sz w:val="32"/>
          <w:szCs w:val="32"/>
          <w:u w:val="none"/>
          <w:lang w:val="en-US"/>
        </w:rPr>
        <w:t>项目催化行动</w:t>
      </w:r>
      <w:bookmarkEnd w:id="371"/>
      <w:bookmarkEnd w:id="372"/>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b w:val="0"/>
          <w:bCs w:val="0"/>
          <w:sz w:val="32"/>
          <w:szCs w:val="32"/>
          <w:u w:val="none"/>
        </w:rPr>
      </w:pPr>
      <w:r>
        <w:rPr>
          <w:rFonts w:hint="eastAsia"/>
          <w:b w:val="0"/>
          <w:bCs w:val="0"/>
          <w:sz w:val="32"/>
          <w:szCs w:val="32"/>
          <w:u w:val="none"/>
        </w:rPr>
        <w:t>成片开发地区优先建设低成本高催化的项目，带动开发建设态势和周边土地升值。香洲片区建成市民服务中心、市工人文化宫，推进城市之心、九洲湾中心、漫舒·溪里广场等商业商务项目建设。高新片区启动市科技馆、高新区体育中心建设，完善北站组团中心功能。金湾片区高标准建设西部体育中心、滨水文娱长廊、十字水轴公园、金湖地标酒店，带动西部中央商务中心发展。斗门片区推进市人民医院富山分院、西部医疗中心、幸福河星乐度旅游区、富山二围东和起步区公园建设。</w:t>
      </w:r>
    </w:p>
    <w:p>
      <w:pPr>
        <w:pStyle w:val="85"/>
        <w:keepNext w:val="0"/>
        <w:keepLines w:val="0"/>
        <w:pageBreakBefore w:val="0"/>
        <w:widowControl w:val="0"/>
        <w:tabs>
          <w:tab w:val="left" w:pos="0"/>
          <w:tab w:val="clear" w:pos="420"/>
        </w:tabs>
        <w:kinsoku/>
        <w:wordWrap/>
        <w:overflowPunct/>
        <w:topLinePunct w:val="0"/>
        <w:autoSpaceDE/>
        <w:autoSpaceDN/>
        <w:bidi w:val="0"/>
        <w:adjustRightInd/>
        <w:snapToGrid/>
        <w:spacing w:before="0" w:beforeLines="0" w:after="0" w:afterLines="0" w:line="579" w:lineRule="exact"/>
        <w:ind w:left="198" w:leftChars="0" w:firstLine="0" w:firstLineChars="0"/>
        <w:textAlignment w:val="auto"/>
        <w:rPr>
          <w:rFonts w:hint="eastAsia"/>
          <w:b w:val="0"/>
          <w:bCs w:val="0"/>
          <w:sz w:val="32"/>
          <w:szCs w:val="32"/>
          <w:u w:val="none"/>
          <w:lang w:val="en-US"/>
        </w:rPr>
      </w:pPr>
      <w:bookmarkStart w:id="373" w:name="_Toc10189"/>
      <w:bookmarkStart w:id="374" w:name="_Toc138985081"/>
      <w:bookmarkStart w:id="375" w:name="_Toc30913"/>
      <w:r>
        <w:rPr>
          <w:rFonts w:hint="eastAsia"/>
          <w:b w:val="0"/>
          <w:bCs w:val="0"/>
          <w:sz w:val="32"/>
          <w:szCs w:val="32"/>
          <w:u w:val="none"/>
          <w:lang w:val="en-US"/>
        </w:rPr>
        <w:t>设施匹配行动</w:t>
      </w:r>
      <w:bookmarkEnd w:id="373"/>
      <w:bookmarkEnd w:id="374"/>
      <w:bookmarkEnd w:id="375"/>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ascii="仿宋_GB2312"/>
          <w:b w:val="0"/>
          <w:bCs w:val="0"/>
          <w:sz w:val="32"/>
          <w:szCs w:val="32"/>
          <w:u w:val="none"/>
        </w:rPr>
      </w:pPr>
      <w:r>
        <w:rPr>
          <w:rFonts w:hint="eastAsia"/>
          <w:b w:val="0"/>
          <w:bCs w:val="0"/>
          <w:sz w:val="32"/>
          <w:szCs w:val="32"/>
          <w:u w:val="none"/>
        </w:rPr>
        <w:t>实现设施配置与产业、人口发展相匹配，推进分类分级、有重点的配置。其中教育设施以增加基础教育学位为重点，文化、体育、养老设施以市级、片区级为重点，医疗设施实行老城提质扩容与新城新增建设相结合，详见专栏1</w:t>
      </w:r>
      <w:r>
        <w:rPr>
          <w:b w:val="0"/>
          <w:bCs w:val="0"/>
          <w:sz w:val="32"/>
          <w:szCs w:val="32"/>
          <w:u w:val="none"/>
        </w:rPr>
        <w:t>5</w:t>
      </w:r>
      <w:r>
        <w:rPr>
          <w:rFonts w:hint="eastAsia"/>
          <w:b w:val="0"/>
          <w:bCs w:val="0"/>
          <w:sz w:val="32"/>
          <w:szCs w:val="32"/>
          <w:u w:val="none"/>
        </w:rPr>
        <w:t>-</w:t>
      </w:r>
      <w:r>
        <w:rPr>
          <w:b w:val="0"/>
          <w:bCs w:val="0"/>
          <w:sz w:val="32"/>
          <w:szCs w:val="32"/>
          <w:u w:val="none"/>
        </w:rPr>
        <w:t>3</w:t>
      </w:r>
      <w:r>
        <w:rPr>
          <w:rFonts w:hint="eastAsia"/>
          <w:b w:val="0"/>
          <w:bCs w:val="0"/>
          <w:sz w:val="32"/>
          <w:szCs w:val="32"/>
          <w:u w:val="none"/>
        </w:rPr>
        <w:t>。</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2898"/>
        <w:gridCol w:w="2563"/>
        <w:gridCol w:w="2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288" w:type="dxa"/>
            <w:gridSpan w:val="4"/>
            <w:shd w:val="clear" w:color="auto" w:fill="D9D9D9"/>
            <w:noWrap w:val="0"/>
            <w:vAlign w:val="center"/>
          </w:tcPr>
          <w:p>
            <w:pPr>
              <w:spacing w:before="46" w:after="46"/>
              <w:ind w:firstLine="0" w:firstLineChars="0"/>
              <w:jc w:val="center"/>
              <w:rPr>
                <w:rFonts w:hint="eastAsia" w:eastAsia="黑体" w:cs="Times New Roman"/>
                <w:b w:val="0"/>
                <w:bCs w:val="0"/>
                <w:kern w:val="0"/>
                <w:u w:val="none"/>
              </w:rPr>
            </w:pPr>
            <w:r>
              <w:rPr>
                <w:rFonts w:hint="eastAsia" w:eastAsia="黑体" w:cs="Times New Roman"/>
                <w:b w:val="0"/>
                <w:bCs w:val="0"/>
                <w:kern w:val="0"/>
                <w:u w:val="none"/>
              </w:rPr>
              <w:t>专栏</w:t>
            </w:r>
            <w:r>
              <w:rPr>
                <w:rFonts w:eastAsia="黑体" w:cs="Times New Roman"/>
                <w:b w:val="0"/>
                <w:bCs w:val="0"/>
                <w:kern w:val="0"/>
                <w:u w:val="none"/>
              </w:rPr>
              <w:t>15-3：</w:t>
            </w:r>
            <w:r>
              <w:rPr>
                <w:rFonts w:hint="eastAsia" w:eastAsia="黑体" w:cs="Times New Roman"/>
                <w:b w:val="0"/>
                <w:bCs w:val="0"/>
                <w:kern w:val="0"/>
                <w:u w:val="none"/>
              </w:rPr>
              <w:t>公共服务设施近期建设任务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193" w:type="dxa"/>
            <w:noWrap w:val="0"/>
            <w:vAlign w:val="center"/>
          </w:tcPr>
          <w:p>
            <w:pPr>
              <w:pStyle w:val="8"/>
              <w:rPr>
                <w:b w:val="0"/>
                <w:bCs w:val="0"/>
                <w:u w:val="none"/>
              </w:rPr>
            </w:pPr>
            <w:r>
              <w:rPr>
                <w:rFonts w:hint="eastAsia"/>
                <w:b w:val="0"/>
                <w:bCs w:val="0"/>
                <w:u w:val="none"/>
              </w:rPr>
              <w:t>类别</w:t>
            </w:r>
          </w:p>
        </w:tc>
        <w:tc>
          <w:tcPr>
            <w:tcW w:w="2898" w:type="dxa"/>
            <w:noWrap w:val="0"/>
            <w:vAlign w:val="center"/>
          </w:tcPr>
          <w:p>
            <w:pPr>
              <w:pStyle w:val="8"/>
              <w:rPr>
                <w:b w:val="0"/>
                <w:bCs w:val="0"/>
                <w:u w:val="none"/>
              </w:rPr>
            </w:pPr>
            <w:r>
              <w:rPr>
                <w:rFonts w:hint="eastAsia"/>
                <w:b w:val="0"/>
                <w:bCs w:val="0"/>
                <w:u w:val="none"/>
              </w:rPr>
              <w:t>市级</w:t>
            </w:r>
          </w:p>
        </w:tc>
        <w:tc>
          <w:tcPr>
            <w:tcW w:w="2563" w:type="dxa"/>
            <w:noWrap w:val="0"/>
            <w:vAlign w:val="center"/>
          </w:tcPr>
          <w:p>
            <w:pPr>
              <w:pStyle w:val="8"/>
              <w:rPr>
                <w:b w:val="0"/>
                <w:bCs w:val="0"/>
                <w:u w:val="none"/>
              </w:rPr>
            </w:pPr>
            <w:r>
              <w:rPr>
                <w:rFonts w:hint="eastAsia"/>
                <w:b w:val="0"/>
                <w:bCs w:val="0"/>
                <w:u w:val="none"/>
              </w:rPr>
              <w:t>片区级</w:t>
            </w:r>
          </w:p>
        </w:tc>
        <w:tc>
          <w:tcPr>
            <w:tcW w:w="2634" w:type="dxa"/>
            <w:noWrap w:val="0"/>
            <w:vAlign w:val="center"/>
          </w:tcPr>
          <w:p>
            <w:pPr>
              <w:pStyle w:val="8"/>
              <w:rPr>
                <w:b w:val="0"/>
                <w:bCs w:val="0"/>
                <w:u w:val="none"/>
              </w:rPr>
            </w:pPr>
            <w:r>
              <w:rPr>
                <w:rFonts w:hint="eastAsia"/>
                <w:b w:val="0"/>
                <w:bCs w:val="0"/>
                <w:u w:val="none"/>
              </w:rPr>
              <w:t>组团及以下级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193" w:type="dxa"/>
            <w:noWrap w:val="0"/>
            <w:vAlign w:val="center"/>
          </w:tcPr>
          <w:p>
            <w:pPr>
              <w:pStyle w:val="8"/>
              <w:rPr>
                <w:b w:val="0"/>
                <w:bCs w:val="0"/>
                <w:u w:val="none"/>
              </w:rPr>
            </w:pPr>
            <w:r>
              <w:rPr>
                <w:rFonts w:hint="eastAsia"/>
                <w:b w:val="0"/>
                <w:bCs w:val="0"/>
                <w:u w:val="none"/>
              </w:rPr>
              <w:t>香洲片区</w:t>
            </w:r>
          </w:p>
        </w:tc>
        <w:tc>
          <w:tcPr>
            <w:tcW w:w="2898" w:type="dxa"/>
            <w:noWrap w:val="0"/>
            <w:vAlign w:val="center"/>
          </w:tcPr>
          <w:p>
            <w:pPr>
              <w:pStyle w:val="8"/>
              <w:jc w:val="both"/>
              <w:rPr>
                <w:rFonts w:hint="eastAsia"/>
                <w:b w:val="0"/>
                <w:bCs w:val="0"/>
                <w:u w:val="none"/>
              </w:rPr>
            </w:pPr>
            <w:r>
              <w:rPr>
                <w:b w:val="0"/>
                <w:bCs w:val="0"/>
                <w:u w:val="none"/>
              </w:rPr>
              <w:t>文化：建成市工人文化宫</w:t>
            </w:r>
          </w:p>
          <w:p>
            <w:pPr>
              <w:pStyle w:val="8"/>
              <w:jc w:val="both"/>
              <w:rPr>
                <w:b w:val="0"/>
                <w:bCs w:val="0"/>
                <w:u w:val="none"/>
              </w:rPr>
            </w:pPr>
            <w:r>
              <w:rPr>
                <w:rFonts w:hint="eastAsia"/>
                <w:b w:val="0"/>
                <w:bCs w:val="0"/>
                <w:u w:val="none"/>
              </w:rPr>
              <w:t>医疗：改扩建市人民医院、市妇幼保健院、中山大学附属第五医院、省中医院珠海医院</w:t>
            </w:r>
          </w:p>
        </w:tc>
        <w:tc>
          <w:tcPr>
            <w:tcW w:w="2563" w:type="dxa"/>
            <w:noWrap w:val="0"/>
            <w:vAlign w:val="center"/>
          </w:tcPr>
          <w:p>
            <w:pPr>
              <w:pStyle w:val="8"/>
              <w:jc w:val="both"/>
              <w:rPr>
                <w:b w:val="0"/>
                <w:bCs w:val="0"/>
                <w:u w:val="none"/>
              </w:rPr>
            </w:pPr>
            <w:r>
              <w:rPr>
                <w:rFonts w:hint="eastAsia"/>
                <w:b w:val="0"/>
                <w:bCs w:val="0"/>
                <w:u w:val="none"/>
              </w:rPr>
              <w:t>文化：建成香山文化艺术中心</w:t>
            </w:r>
          </w:p>
          <w:p>
            <w:pPr>
              <w:pStyle w:val="8"/>
              <w:jc w:val="both"/>
              <w:rPr>
                <w:b w:val="0"/>
                <w:bCs w:val="0"/>
                <w:u w:val="none"/>
              </w:rPr>
            </w:pPr>
            <w:r>
              <w:rPr>
                <w:rFonts w:hint="eastAsia"/>
                <w:b w:val="0"/>
                <w:bCs w:val="0"/>
                <w:u w:val="none"/>
              </w:rPr>
              <w:t>体育：启动香洲区体育中心建设前期工作</w:t>
            </w:r>
          </w:p>
          <w:p>
            <w:pPr>
              <w:pStyle w:val="8"/>
              <w:jc w:val="both"/>
              <w:rPr>
                <w:b w:val="0"/>
                <w:bCs w:val="0"/>
                <w:u w:val="none"/>
              </w:rPr>
            </w:pPr>
            <w:r>
              <w:rPr>
                <w:rFonts w:hint="eastAsia"/>
                <w:b w:val="0"/>
                <w:bCs w:val="0"/>
                <w:u w:val="none"/>
              </w:rPr>
              <w:t>养老：建成香洲区社会福利中心</w:t>
            </w:r>
          </w:p>
        </w:tc>
        <w:tc>
          <w:tcPr>
            <w:tcW w:w="2634" w:type="dxa"/>
            <w:noWrap w:val="0"/>
            <w:vAlign w:val="center"/>
          </w:tcPr>
          <w:p>
            <w:pPr>
              <w:pStyle w:val="8"/>
              <w:rPr>
                <w:b w:val="0"/>
                <w:bCs w:val="0"/>
                <w:u w:val="none"/>
              </w:rPr>
            </w:pPr>
            <w:r>
              <w:rPr>
                <w:rFonts w:hint="eastAsia"/>
                <w:b w:val="0"/>
                <w:bCs w:val="0"/>
                <w:u w:val="none"/>
              </w:rPr>
              <w:t>凤山、吉大按照组团级设施要求配置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193" w:type="dxa"/>
            <w:noWrap w:val="0"/>
            <w:vAlign w:val="center"/>
          </w:tcPr>
          <w:p>
            <w:pPr>
              <w:pStyle w:val="8"/>
              <w:rPr>
                <w:b w:val="0"/>
                <w:bCs w:val="0"/>
                <w:u w:val="none"/>
              </w:rPr>
            </w:pPr>
            <w:r>
              <w:rPr>
                <w:rFonts w:hint="eastAsia"/>
                <w:b w:val="0"/>
                <w:bCs w:val="0"/>
                <w:u w:val="none"/>
              </w:rPr>
              <w:t>高新片区</w:t>
            </w:r>
          </w:p>
        </w:tc>
        <w:tc>
          <w:tcPr>
            <w:tcW w:w="2898" w:type="dxa"/>
            <w:noWrap w:val="0"/>
            <w:vAlign w:val="center"/>
          </w:tcPr>
          <w:p>
            <w:pPr>
              <w:pStyle w:val="8"/>
              <w:jc w:val="both"/>
              <w:rPr>
                <w:b w:val="0"/>
                <w:bCs w:val="0"/>
                <w:u w:val="none"/>
              </w:rPr>
            </w:pPr>
            <w:r>
              <w:rPr>
                <w:rFonts w:hint="eastAsia"/>
                <w:b w:val="0"/>
                <w:bCs w:val="0"/>
                <w:u w:val="none"/>
              </w:rPr>
              <w:t>文化：启动市科技馆建设前期工作</w:t>
            </w:r>
          </w:p>
        </w:tc>
        <w:tc>
          <w:tcPr>
            <w:tcW w:w="2563" w:type="dxa"/>
            <w:noWrap w:val="0"/>
            <w:vAlign w:val="center"/>
          </w:tcPr>
          <w:p>
            <w:pPr>
              <w:pStyle w:val="8"/>
              <w:jc w:val="both"/>
              <w:rPr>
                <w:b w:val="0"/>
                <w:bCs w:val="0"/>
                <w:u w:val="none"/>
              </w:rPr>
            </w:pPr>
            <w:r>
              <w:rPr>
                <w:rFonts w:hint="eastAsia"/>
                <w:b w:val="0"/>
                <w:bCs w:val="0"/>
                <w:u w:val="none"/>
              </w:rPr>
              <w:t>医疗：推进高新区人民医院北围院区建设</w:t>
            </w:r>
          </w:p>
          <w:p>
            <w:pPr>
              <w:pStyle w:val="8"/>
              <w:jc w:val="both"/>
              <w:rPr>
                <w:b w:val="0"/>
                <w:bCs w:val="0"/>
                <w:u w:val="none"/>
              </w:rPr>
            </w:pPr>
            <w:r>
              <w:rPr>
                <w:rFonts w:hint="eastAsia"/>
                <w:b w:val="0"/>
                <w:bCs w:val="0"/>
                <w:u w:val="none"/>
              </w:rPr>
              <w:t>养老：建成高新区社会福利中心</w:t>
            </w:r>
          </w:p>
          <w:p>
            <w:pPr>
              <w:pStyle w:val="8"/>
              <w:jc w:val="both"/>
              <w:rPr>
                <w:b w:val="0"/>
                <w:bCs w:val="0"/>
                <w:u w:val="none"/>
              </w:rPr>
            </w:pPr>
            <w:r>
              <w:rPr>
                <w:rFonts w:hint="eastAsia"/>
                <w:b w:val="0"/>
                <w:bCs w:val="0"/>
                <w:u w:val="none"/>
              </w:rPr>
              <w:t>体育：推动高新区体育中心建设</w:t>
            </w:r>
          </w:p>
        </w:tc>
        <w:tc>
          <w:tcPr>
            <w:tcW w:w="2634" w:type="dxa"/>
            <w:noWrap w:val="0"/>
            <w:vAlign w:val="center"/>
          </w:tcPr>
          <w:p>
            <w:pPr>
              <w:pStyle w:val="8"/>
              <w:jc w:val="both"/>
              <w:rPr>
                <w:b w:val="0"/>
                <w:bCs w:val="0"/>
                <w:u w:val="none"/>
              </w:rPr>
            </w:pPr>
            <w:r>
              <w:rPr>
                <w:rFonts w:hint="eastAsia"/>
                <w:b w:val="0"/>
                <w:bCs w:val="0"/>
                <w:u w:val="none"/>
              </w:rPr>
              <w:t>北站按照组团级设施要求配置</w:t>
            </w:r>
          </w:p>
          <w:p>
            <w:pPr>
              <w:pStyle w:val="8"/>
              <w:jc w:val="both"/>
              <w:rPr>
                <w:b w:val="0"/>
                <w:bCs w:val="0"/>
                <w:u w:val="none"/>
              </w:rPr>
            </w:pPr>
            <w:r>
              <w:rPr>
                <w:rFonts w:hint="eastAsia"/>
                <w:b w:val="0"/>
                <w:bCs w:val="0"/>
                <w:u w:val="none"/>
              </w:rPr>
              <w:t>金鼎按照邻里级设施要求配置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193" w:type="dxa"/>
            <w:noWrap w:val="0"/>
            <w:vAlign w:val="center"/>
          </w:tcPr>
          <w:p>
            <w:pPr>
              <w:pStyle w:val="8"/>
              <w:rPr>
                <w:b w:val="0"/>
                <w:bCs w:val="0"/>
                <w:u w:val="none"/>
              </w:rPr>
            </w:pPr>
            <w:r>
              <w:rPr>
                <w:rFonts w:hint="eastAsia"/>
                <w:b w:val="0"/>
                <w:bCs w:val="0"/>
                <w:u w:val="none"/>
              </w:rPr>
              <w:t>金湾片区</w:t>
            </w:r>
          </w:p>
        </w:tc>
        <w:tc>
          <w:tcPr>
            <w:tcW w:w="2898" w:type="dxa"/>
            <w:noWrap w:val="0"/>
            <w:vAlign w:val="center"/>
          </w:tcPr>
          <w:p>
            <w:pPr>
              <w:pStyle w:val="8"/>
              <w:jc w:val="both"/>
              <w:rPr>
                <w:b w:val="0"/>
                <w:bCs w:val="0"/>
                <w:u w:val="none"/>
              </w:rPr>
            </w:pPr>
            <w:r>
              <w:rPr>
                <w:rFonts w:hint="eastAsia"/>
                <w:b w:val="0"/>
                <w:bCs w:val="0"/>
                <w:u w:val="none"/>
              </w:rPr>
              <w:t>体育：启动西部体育中心建设前期工作</w:t>
            </w:r>
          </w:p>
        </w:tc>
        <w:tc>
          <w:tcPr>
            <w:tcW w:w="2563" w:type="dxa"/>
            <w:noWrap w:val="0"/>
            <w:vAlign w:val="center"/>
          </w:tcPr>
          <w:p>
            <w:pPr>
              <w:pStyle w:val="8"/>
              <w:jc w:val="both"/>
              <w:rPr>
                <w:b w:val="0"/>
                <w:bCs w:val="0"/>
                <w:u w:val="none"/>
              </w:rPr>
            </w:pPr>
            <w:r>
              <w:rPr>
                <w:rFonts w:hint="eastAsia"/>
                <w:b w:val="0"/>
                <w:bCs w:val="0"/>
                <w:u w:val="none"/>
              </w:rPr>
              <w:t>养老：建成金湾区社会福利中心</w:t>
            </w:r>
          </w:p>
        </w:tc>
        <w:tc>
          <w:tcPr>
            <w:tcW w:w="2634" w:type="dxa"/>
            <w:noWrap w:val="0"/>
            <w:vAlign w:val="center"/>
          </w:tcPr>
          <w:p>
            <w:pPr>
              <w:pStyle w:val="8"/>
              <w:jc w:val="both"/>
              <w:rPr>
                <w:b w:val="0"/>
                <w:bCs w:val="0"/>
                <w:u w:val="none"/>
              </w:rPr>
            </w:pPr>
            <w:r>
              <w:rPr>
                <w:rFonts w:hint="eastAsia"/>
                <w:b w:val="0"/>
                <w:bCs w:val="0"/>
                <w:u w:val="none"/>
              </w:rPr>
              <w:t>木乃、新能源、装备制造区、石油化工区、高栏岛按照邻里级设施要求配置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193" w:type="dxa"/>
            <w:noWrap w:val="0"/>
            <w:vAlign w:val="center"/>
          </w:tcPr>
          <w:p>
            <w:pPr>
              <w:pStyle w:val="8"/>
              <w:rPr>
                <w:b w:val="0"/>
                <w:bCs w:val="0"/>
                <w:u w:val="none"/>
              </w:rPr>
            </w:pPr>
            <w:r>
              <w:rPr>
                <w:rFonts w:hint="eastAsia"/>
                <w:b w:val="0"/>
                <w:bCs w:val="0"/>
                <w:u w:val="none"/>
              </w:rPr>
              <w:t>斗门片区</w:t>
            </w:r>
          </w:p>
        </w:tc>
        <w:tc>
          <w:tcPr>
            <w:tcW w:w="2898" w:type="dxa"/>
            <w:noWrap w:val="0"/>
            <w:vAlign w:val="center"/>
          </w:tcPr>
          <w:p>
            <w:pPr>
              <w:pStyle w:val="8"/>
              <w:rPr>
                <w:b w:val="0"/>
                <w:bCs w:val="0"/>
                <w:u w:val="none"/>
              </w:rPr>
            </w:pPr>
            <w:r>
              <w:rPr>
                <w:rFonts w:hint="eastAsia"/>
                <w:b w:val="0"/>
                <w:bCs w:val="0"/>
                <w:u w:val="none"/>
              </w:rPr>
              <w:t>——</w:t>
            </w:r>
          </w:p>
        </w:tc>
        <w:tc>
          <w:tcPr>
            <w:tcW w:w="2563" w:type="dxa"/>
            <w:noWrap w:val="0"/>
            <w:vAlign w:val="center"/>
          </w:tcPr>
          <w:p>
            <w:pPr>
              <w:pStyle w:val="8"/>
              <w:jc w:val="both"/>
              <w:rPr>
                <w:b w:val="0"/>
                <w:bCs w:val="0"/>
                <w:u w:val="none"/>
              </w:rPr>
            </w:pPr>
            <w:r>
              <w:rPr>
                <w:rFonts w:hint="eastAsia"/>
                <w:b w:val="0"/>
                <w:bCs w:val="0"/>
                <w:u w:val="none"/>
              </w:rPr>
              <w:t>文化：建成斗门区文化艺术中心</w:t>
            </w:r>
          </w:p>
        </w:tc>
        <w:tc>
          <w:tcPr>
            <w:tcW w:w="2634" w:type="dxa"/>
            <w:noWrap w:val="0"/>
            <w:vAlign w:val="center"/>
          </w:tcPr>
          <w:p>
            <w:pPr>
              <w:pStyle w:val="8"/>
              <w:jc w:val="both"/>
              <w:rPr>
                <w:b w:val="0"/>
                <w:bCs w:val="0"/>
                <w:u w:val="none"/>
              </w:rPr>
            </w:pPr>
            <w:r>
              <w:rPr>
                <w:rFonts w:hint="eastAsia"/>
                <w:b w:val="0"/>
                <w:bCs w:val="0"/>
                <w:u w:val="none"/>
              </w:rPr>
              <w:t>富山北、藤山-红旗按照组团级设施要求配置</w:t>
            </w:r>
          </w:p>
          <w:p>
            <w:pPr>
              <w:pStyle w:val="8"/>
              <w:jc w:val="both"/>
              <w:rPr>
                <w:b w:val="0"/>
                <w:bCs w:val="0"/>
                <w:u w:val="none"/>
              </w:rPr>
            </w:pPr>
            <w:r>
              <w:rPr>
                <w:rFonts w:hint="eastAsia"/>
                <w:b w:val="0"/>
                <w:bCs w:val="0"/>
                <w:u w:val="none"/>
              </w:rPr>
              <w:t>雷蛛、智能制造按照第邻里级设施要求配置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193" w:type="dxa"/>
            <w:noWrap w:val="0"/>
            <w:vAlign w:val="center"/>
          </w:tcPr>
          <w:p>
            <w:pPr>
              <w:pStyle w:val="8"/>
              <w:rPr>
                <w:b w:val="0"/>
                <w:bCs w:val="0"/>
                <w:u w:val="none"/>
              </w:rPr>
            </w:pPr>
            <w:r>
              <w:rPr>
                <w:rFonts w:hint="eastAsia"/>
                <w:b w:val="0"/>
                <w:bCs w:val="0"/>
                <w:u w:val="none"/>
              </w:rPr>
              <w:t>鹤洲片区</w:t>
            </w:r>
          </w:p>
        </w:tc>
        <w:tc>
          <w:tcPr>
            <w:tcW w:w="2898" w:type="dxa"/>
            <w:noWrap w:val="0"/>
            <w:vAlign w:val="center"/>
          </w:tcPr>
          <w:p>
            <w:pPr>
              <w:pStyle w:val="8"/>
              <w:rPr>
                <w:b w:val="0"/>
                <w:bCs w:val="0"/>
                <w:u w:val="none"/>
              </w:rPr>
            </w:pPr>
            <w:r>
              <w:rPr>
                <w:rFonts w:hint="eastAsia"/>
                <w:b w:val="0"/>
                <w:bCs w:val="0"/>
                <w:u w:val="none"/>
              </w:rPr>
              <w:t>——</w:t>
            </w:r>
          </w:p>
        </w:tc>
        <w:tc>
          <w:tcPr>
            <w:tcW w:w="2563" w:type="dxa"/>
            <w:noWrap w:val="0"/>
            <w:vAlign w:val="center"/>
          </w:tcPr>
          <w:p>
            <w:pPr>
              <w:pStyle w:val="8"/>
              <w:jc w:val="both"/>
              <w:rPr>
                <w:b w:val="0"/>
                <w:bCs w:val="0"/>
                <w:u w:val="none"/>
              </w:rPr>
            </w:pPr>
            <w:r>
              <w:rPr>
                <w:rFonts w:hint="eastAsia"/>
                <w:b w:val="0"/>
                <w:bCs w:val="0"/>
                <w:u w:val="none"/>
              </w:rPr>
              <w:t>医疗：启动专科医院建设前期工作</w:t>
            </w:r>
          </w:p>
        </w:tc>
        <w:tc>
          <w:tcPr>
            <w:tcW w:w="2634" w:type="dxa"/>
            <w:noWrap w:val="0"/>
            <w:vAlign w:val="center"/>
          </w:tcPr>
          <w:p>
            <w:pPr>
              <w:pStyle w:val="8"/>
              <w:rPr>
                <w:b w:val="0"/>
                <w:bCs w:val="0"/>
                <w:u w:val="none"/>
              </w:rPr>
            </w:pPr>
            <w:r>
              <w:rPr>
                <w:rFonts w:hint="eastAsia"/>
                <w:b w:val="0"/>
                <w:bCs w:val="0"/>
                <w:u w:val="none"/>
              </w:rPr>
              <w:t>——</w:t>
            </w:r>
          </w:p>
        </w:tc>
      </w:tr>
    </w:tbl>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ascii="仿宋_GB2312"/>
          <w:b w:val="0"/>
          <w:bCs w:val="0"/>
          <w:sz w:val="32"/>
          <w:szCs w:val="32"/>
          <w:u w:val="none"/>
        </w:rPr>
      </w:pPr>
      <w:r>
        <w:rPr>
          <w:rFonts w:hint="eastAsia" w:ascii="仿宋_GB2312"/>
          <w:b w:val="0"/>
          <w:bCs w:val="0"/>
          <w:sz w:val="32"/>
          <w:szCs w:val="32"/>
          <w:u w:val="none"/>
        </w:rPr>
        <w:t>统筹推进市政公用设施建设。坚持韧性城市、海绵城市理念，保障城市生命线系统，推进城市供水、污水、防洪排涝、电力、燃气等设施建设，提升基础</w:t>
      </w:r>
      <w:r>
        <w:rPr>
          <w:rFonts w:hint="eastAsia"/>
          <w:b w:val="0"/>
          <w:bCs w:val="0"/>
          <w:sz w:val="32"/>
          <w:szCs w:val="32"/>
          <w:u w:val="none"/>
        </w:rPr>
        <w:t>设施</w:t>
      </w:r>
      <w:r>
        <w:rPr>
          <w:rFonts w:hint="eastAsia" w:ascii="仿宋_GB2312"/>
          <w:b w:val="0"/>
          <w:bCs w:val="0"/>
          <w:sz w:val="32"/>
          <w:szCs w:val="32"/>
          <w:u w:val="none"/>
        </w:rPr>
        <w:t>承载能力，详见专栏</w:t>
      </w:r>
      <w:r>
        <w:rPr>
          <w:rFonts w:hint="eastAsia"/>
          <w:b w:val="0"/>
          <w:bCs w:val="0"/>
          <w:sz w:val="32"/>
          <w:szCs w:val="32"/>
          <w:u w:val="none"/>
        </w:rPr>
        <w:t>1</w:t>
      </w:r>
      <w:r>
        <w:rPr>
          <w:b w:val="0"/>
          <w:bCs w:val="0"/>
          <w:sz w:val="32"/>
          <w:szCs w:val="32"/>
          <w:u w:val="none"/>
        </w:rPr>
        <w:t>5</w:t>
      </w:r>
      <w:r>
        <w:rPr>
          <w:rFonts w:hint="eastAsia" w:ascii="仿宋_GB2312"/>
          <w:b w:val="0"/>
          <w:bCs w:val="0"/>
          <w:sz w:val="32"/>
          <w:szCs w:val="32"/>
          <w:u w:val="none"/>
        </w:rPr>
        <w:t>-</w:t>
      </w:r>
      <w:r>
        <w:rPr>
          <w:b w:val="0"/>
          <w:bCs w:val="0"/>
          <w:sz w:val="32"/>
          <w:szCs w:val="32"/>
          <w:u w:val="none"/>
        </w:rPr>
        <w:t>4</w:t>
      </w:r>
      <w:r>
        <w:rPr>
          <w:rFonts w:hint="eastAsia" w:ascii="仿宋_GB2312"/>
          <w:b w:val="0"/>
          <w:bCs w:val="0"/>
          <w:sz w:val="32"/>
          <w:szCs w:val="32"/>
          <w:u w:val="none"/>
        </w:rPr>
        <w:t>。</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7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288" w:type="dxa"/>
            <w:gridSpan w:val="2"/>
            <w:shd w:val="clear" w:color="auto" w:fill="D9D9D9"/>
            <w:noWrap w:val="0"/>
            <w:vAlign w:val="top"/>
          </w:tcPr>
          <w:p>
            <w:pPr>
              <w:spacing w:before="46" w:after="46"/>
              <w:ind w:firstLine="0" w:firstLineChars="0"/>
              <w:jc w:val="center"/>
              <w:rPr>
                <w:rFonts w:hint="eastAsia"/>
                <w:b w:val="0"/>
                <w:bCs w:val="0"/>
                <w:u w:val="none"/>
              </w:rPr>
            </w:pPr>
            <w:r>
              <w:rPr>
                <w:rFonts w:hint="eastAsia" w:eastAsia="黑体" w:cs="Times New Roman"/>
                <w:b w:val="0"/>
                <w:bCs w:val="0"/>
                <w:kern w:val="0"/>
                <w:u w:val="none"/>
              </w:rPr>
              <w:t>专栏</w:t>
            </w:r>
            <w:r>
              <w:rPr>
                <w:rFonts w:eastAsia="黑体" w:cs="Times New Roman"/>
                <w:b w:val="0"/>
                <w:bCs w:val="0"/>
                <w:kern w:val="0"/>
                <w:u w:val="none"/>
              </w:rPr>
              <w:t>15-4：</w:t>
            </w:r>
            <w:r>
              <w:rPr>
                <w:rFonts w:hint="eastAsia" w:eastAsia="黑体" w:cs="Times New Roman"/>
                <w:b w:val="0"/>
                <w:bCs w:val="0"/>
                <w:kern w:val="0"/>
                <w:u w:val="none"/>
              </w:rPr>
              <w:t>市政公用设施近期建设任务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352" w:type="dxa"/>
            <w:noWrap w:val="0"/>
            <w:vAlign w:val="center"/>
          </w:tcPr>
          <w:p>
            <w:pPr>
              <w:pStyle w:val="8"/>
              <w:rPr>
                <w:b w:val="0"/>
                <w:bCs w:val="0"/>
                <w:u w:val="none"/>
              </w:rPr>
            </w:pPr>
            <w:r>
              <w:rPr>
                <w:rFonts w:hint="eastAsia"/>
                <w:b w:val="0"/>
                <w:bCs w:val="0"/>
                <w:u w:val="none"/>
              </w:rPr>
              <w:t>类别</w:t>
            </w:r>
          </w:p>
        </w:tc>
        <w:tc>
          <w:tcPr>
            <w:tcW w:w="7936" w:type="dxa"/>
            <w:noWrap w:val="0"/>
            <w:vAlign w:val="top"/>
          </w:tcPr>
          <w:p>
            <w:pPr>
              <w:pStyle w:val="8"/>
              <w:rPr>
                <w:b w:val="0"/>
                <w:bCs w:val="0"/>
                <w:u w:val="none"/>
              </w:rPr>
            </w:pPr>
            <w:r>
              <w:rPr>
                <w:rFonts w:hint="eastAsia"/>
                <w:b w:val="0"/>
                <w:bCs w:val="0"/>
                <w:u w:val="none"/>
              </w:rPr>
              <w:t>设施名称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352" w:type="dxa"/>
            <w:noWrap w:val="0"/>
            <w:vAlign w:val="center"/>
          </w:tcPr>
          <w:p>
            <w:pPr>
              <w:pStyle w:val="8"/>
              <w:rPr>
                <w:b w:val="0"/>
                <w:bCs w:val="0"/>
                <w:u w:val="none"/>
              </w:rPr>
            </w:pPr>
            <w:r>
              <w:rPr>
                <w:rFonts w:hint="eastAsia"/>
                <w:b w:val="0"/>
                <w:bCs w:val="0"/>
                <w:u w:val="none"/>
              </w:rPr>
              <w:t>供水</w:t>
            </w:r>
          </w:p>
        </w:tc>
        <w:tc>
          <w:tcPr>
            <w:tcW w:w="7936" w:type="dxa"/>
            <w:noWrap w:val="0"/>
            <w:vAlign w:val="top"/>
          </w:tcPr>
          <w:p>
            <w:pPr>
              <w:pStyle w:val="61"/>
              <w:ind w:firstLine="0" w:firstLineChars="0"/>
              <w:jc w:val="left"/>
              <w:rPr>
                <w:b w:val="0"/>
                <w:bCs w:val="0"/>
                <w:u w:val="none"/>
              </w:rPr>
            </w:pPr>
            <w:r>
              <w:rPr>
                <w:b w:val="0"/>
                <w:bCs w:val="0"/>
                <w:u w:val="none"/>
              </w:rPr>
              <w:t>推进</w:t>
            </w:r>
            <w:r>
              <w:rPr>
                <w:rFonts w:hint="eastAsia"/>
                <w:b w:val="0"/>
                <w:bCs w:val="0"/>
                <w:u w:val="none"/>
              </w:rPr>
              <w:t>澳门珠海水资源保障工程（水库及连通工程）、平岗泵站扩建工程（二期）、广南梅第二条原水管道工程等水源、原水泵站和管线建设；建成梅溪给水厂，启动扩建西城和唐家给水厂。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352" w:type="dxa"/>
            <w:noWrap w:val="0"/>
            <w:vAlign w:val="center"/>
          </w:tcPr>
          <w:p>
            <w:pPr>
              <w:pStyle w:val="8"/>
              <w:rPr>
                <w:b w:val="0"/>
                <w:bCs w:val="0"/>
                <w:u w:val="none"/>
              </w:rPr>
            </w:pPr>
            <w:r>
              <w:rPr>
                <w:rFonts w:hint="eastAsia"/>
                <w:b w:val="0"/>
                <w:bCs w:val="0"/>
                <w:u w:val="none"/>
              </w:rPr>
              <w:t>污水</w:t>
            </w:r>
          </w:p>
        </w:tc>
        <w:tc>
          <w:tcPr>
            <w:tcW w:w="7936" w:type="dxa"/>
            <w:noWrap w:val="0"/>
            <w:vAlign w:val="top"/>
          </w:tcPr>
          <w:p>
            <w:pPr>
              <w:pStyle w:val="61"/>
              <w:ind w:firstLine="0" w:firstLineChars="0"/>
              <w:jc w:val="left"/>
              <w:rPr>
                <w:b w:val="0"/>
                <w:bCs w:val="0"/>
                <w:u w:val="none"/>
              </w:rPr>
            </w:pPr>
            <w:r>
              <w:rPr>
                <w:rFonts w:hint="eastAsia"/>
                <w:b w:val="0"/>
                <w:bCs w:val="0"/>
                <w:u w:val="none"/>
              </w:rPr>
              <w:t>建成莲洲镇永利大沙片区生活污水处理厂，启动上冲、北区、三灶等水质净化厂新建、扩建工程，建成新青、装备制造区、富山（沙龙）工业污水厂，启动生物医药园二期工业厂新建工程，实施前山河、凤凰河流域水环境综合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352" w:type="dxa"/>
            <w:noWrap w:val="0"/>
            <w:vAlign w:val="center"/>
          </w:tcPr>
          <w:p>
            <w:pPr>
              <w:pStyle w:val="8"/>
              <w:rPr>
                <w:b w:val="0"/>
                <w:bCs w:val="0"/>
                <w:u w:val="none"/>
              </w:rPr>
            </w:pPr>
            <w:r>
              <w:rPr>
                <w:rFonts w:hint="eastAsia"/>
                <w:b w:val="0"/>
                <w:bCs w:val="0"/>
                <w:u w:val="none"/>
              </w:rPr>
              <w:t>防洪排涝</w:t>
            </w:r>
          </w:p>
        </w:tc>
        <w:tc>
          <w:tcPr>
            <w:tcW w:w="7936" w:type="dxa"/>
            <w:noWrap w:val="0"/>
            <w:vAlign w:val="top"/>
          </w:tcPr>
          <w:p>
            <w:pPr>
              <w:pStyle w:val="61"/>
              <w:ind w:firstLine="0" w:firstLineChars="0"/>
              <w:jc w:val="left"/>
              <w:rPr>
                <w:b w:val="0"/>
                <w:bCs w:val="0"/>
                <w:u w:val="none"/>
              </w:rPr>
            </w:pPr>
            <w:r>
              <w:rPr>
                <w:rFonts w:hint="eastAsia"/>
                <w:b w:val="0"/>
                <w:bCs w:val="0"/>
                <w:u w:val="none"/>
              </w:rPr>
              <w:t>推进珠海市小林联围加固达标工程木乃南堤大门口闸段工程、石角咀水闸重建、广昌水闸改扩建等海堤达标加固和水闸工程</w:t>
            </w:r>
            <w:r>
              <w:rPr>
                <w:b w:val="0"/>
                <w:bCs w:val="0"/>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352" w:type="dxa"/>
            <w:noWrap w:val="0"/>
            <w:vAlign w:val="center"/>
          </w:tcPr>
          <w:p>
            <w:pPr>
              <w:pStyle w:val="8"/>
              <w:rPr>
                <w:b w:val="0"/>
                <w:bCs w:val="0"/>
                <w:u w:val="none"/>
              </w:rPr>
            </w:pPr>
            <w:r>
              <w:rPr>
                <w:rFonts w:hint="eastAsia"/>
                <w:b w:val="0"/>
                <w:bCs w:val="0"/>
                <w:u w:val="none"/>
              </w:rPr>
              <w:t>电力能源</w:t>
            </w:r>
          </w:p>
        </w:tc>
        <w:tc>
          <w:tcPr>
            <w:tcW w:w="7936" w:type="dxa"/>
            <w:noWrap w:val="0"/>
            <w:vAlign w:val="top"/>
          </w:tcPr>
          <w:p>
            <w:pPr>
              <w:pStyle w:val="61"/>
              <w:ind w:firstLine="0" w:firstLineChars="0"/>
              <w:jc w:val="left"/>
              <w:rPr>
                <w:b w:val="0"/>
                <w:bCs w:val="0"/>
                <w:u w:val="none"/>
              </w:rPr>
            </w:pPr>
            <w:r>
              <w:rPr>
                <w:rFonts w:hint="eastAsia"/>
                <w:b w:val="0"/>
                <w:bCs w:val="0"/>
                <w:u w:val="none"/>
              </w:rPr>
              <w:t>推进高栏海上风电场、华润热电、洪湾电厂二期等风力发电、分布式能源项目，以及500kV金鼎站等输变电工程建设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352" w:type="dxa"/>
            <w:noWrap w:val="0"/>
            <w:vAlign w:val="center"/>
          </w:tcPr>
          <w:p>
            <w:pPr>
              <w:pStyle w:val="8"/>
              <w:rPr>
                <w:b w:val="0"/>
                <w:bCs w:val="0"/>
                <w:u w:val="none"/>
              </w:rPr>
            </w:pPr>
            <w:r>
              <w:rPr>
                <w:rFonts w:hint="eastAsia"/>
                <w:b w:val="0"/>
                <w:bCs w:val="0"/>
                <w:u w:val="none"/>
              </w:rPr>
              <w:t>燃气</w:t>
            </w:r>
          </w:p>
        </w:tc>
        <w:tc>
          <w:tcPr>
            <w:tcW w:w="7936" w:type="dxa"/>
            <w:noWrap w:val="0"/>
            <w:vAlign w:val="top"/>
          </w:tcPr>
          <w:p>
            <w:pPr>
              <w:pStyle w:val="61"/>
              <w:ind w:firstLine="0" w:firstLineChars="0"/>
              <w:jc w:val="left"/>
              <w:rPr>
                <w:b w:val="0"/>
                <w:bCs w:val="0"/>
                <w:u w:val="none"/>
              </w:rPr>
            </w:pPr>
            <w:r>
              <w:rPr>
                <w:rFonts w:hint="eastAsia"/>
                <w:b w:val="0"/>
                <w:bCs w:val="0"/>
                <w:u w:val="none"/>
              </w:rPr>
              <w:t>新建斗门、三灶等天然气门站或调压站，推进城镇燃气管网建设。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352" w:type="dxa"/>
            <w:noWrap w:val="0"/>
            <w:vAlign w:val="center"/>
          </w:tcPr>
          <w:p>
            <w:pPr>
              <w:pStyle w:val="8"/>
              <w:rPr>
                <w:b w:val="0"/>
                <w:bCs w:val="0"/>
                <w:u w:val="none"/>
              </w:rPr>
            </w:pPr>
            <w:r>
              <w:rPr>
                <w:rFonts w:hint="eastAsia"/>
                <w:b w:val="0"/>
                <w:bCs w:val="0"/>
                <w:u w:val="none"/>
              </w:rPr>
              <w:t>消防</w:t>
            </w:r>
          </w:p>
        </w:tc>
        <w:tc>
          <w:tcPr>
            <w:tcW w:w="7936" w:type="dxa"/>
            <w:noWrap w:val="0"/>
            <w:vAlign w:val="top"/>
          </w:tcPr>
          <w:p>
            <w:pPr>
              <w:pStyle w:val="61"/>
              <w:ind w:firstLine="0" w:firstLineChars="0"/>
              <w:jc w:val="left"/>
              <w:rPr>
                <w:b w:val="0"/>
                <w:bCs w:val="0"/>
                <w:u w:val="none"/>
              </w:rPr>
            </w:pPr>
            <w:r>
              <w:rPr>
                <w:rFonts w:hint="eastAsia"/>
                <w:b w:val="0"/>
                <w:bCs w:val="0"/>
                <w:u w:val="none"/>
              </w:rPr>
              <w:t>建设市级应急指挥中心、区域消防救援中心以及科创北、湾仔、洪湾、井岸、富山等消防救援站。</w:t>
            </w:r>
          </w:p>
        </w:tc>
      </w:tr>
    </w:tbl>
    <w:p>
      <w:pPr>
        <w:pStyle w:val="85"/>
        <w:keepNext w:val="0"/>
        <w:keepLines w:val="0"/>
        <w:pageBreakBefore w:val="0"/>
        <w:widowControl w:val="0"/>
        <w:tabs>
          <w:tab w:val="left" w:pos="0"/>
          <w:tab w:val="clear" w:pos="420"/>
        </w:tabs>
        <w:kinsoku/>
        <w:wordWrap/>
        <w:overflowPunct/>
        <w:topLinePunct w:val="0"/>
        <w:autoSpaceDE/>
        <w:autoSpaceDN/>
        <w:bidi w:val="0"/>
        <w:adjustRightInd/>
        <w:snapToGrid/>
        <w:spacing w:before="0" w:beforeLines="0" w:after="0" w:afterLines="0" w:line="579" w:lineRule="exact"/>
        <w:ind w:left="198" w:leftChars="0" w:firstLine="0" w:firstLineChars="0"/>
        <w:textAlignment w:val="auto"/>
        <w:rPr>
          <w:rFonts w:hint="eastAsia"/>
          <w:b w:val="0"/>
          <w:bCs w:val="0"/>
          <w:sz w:val="32"/>
          <w:szCs w:val="32"/>
          <w:u w:val="none"/>
          <w:lang w:val="en-US"/>
        </w:rPr>
      </w:pPr>
      <w:bookmarkStart w:id="376" w:name="_Toc5871"/>
      <w:bookmarkStart w:id="377" w:name="_Toc138985082"/>
      <w:r>
        <w:rPr>
          <w:rFonts w:hint="eastAsia"/>
          <w:b w:val="0"/>
          <w:bCs w:val="0"/>
          <w:sz w:val="32"/>
          <w:szCs w:val="32"/>
          <w:u w:val="none"/>
          <w:lang w:val="en-US"/>
        </w:rPr>
        <w:t>土地控制行动</w:t>
      </w:r>
      <w:bookmarkEnd w:id="376"/>
      <w:bookmarkEnd w:id="377"/>
    </w:p>
    <w:p>
      <w:pPr>
        <w:keepNext w:val="0"/>
        <w:keepLines w:val="0"/>
        <w:pageBreakBefore w:val="0"/>
        <w:widowControl w:val="0"/>
        <w:kinsoku/>
        <w:wordWrap/>
        <w:overflowPunct/>
        <w:topLinePunct w:val="0"/>
        <w:autoSpaceDE/>
        <w:autoSpaceDN/>
        <w:bidi w:val="0"/>
        <w:adjustRightInd/>
        <w:snapToGrid/>
        <w:spacing w:line="579" w:lineRule="exact"/>
        <w:ind w:firstLine="600"/>
        <w:textAlignment w:val="auto"/>
        <w:rPr>
          <w:rFonts w:hint="eastAsia" w:eastAsia="仿宋_GB2312"/>
          <w:b w:val="0"/>
          <w:bCs w:val="0"/>
          <w:u w:val="none"/>
          <w:lang w:eastAsia="zh-CN"/>
        </w:rPr>
        <w:sectPr>
          <w:headerReference r:id="rId14" w:type="default"/>
          <w:pgSz w:w="11906" w:h="16838"/>
          <w:pgMar w:top="2041" w:right="1531" w:bottom="2041" w:left="1531" w:header="851" w:footer="1531" w:gutter="0"/>
          <w:paperSrc/>
          <w:pgNumType w:fmt="decimal"/>
          <w:cols w:space="720" w:num="1"/>
          <w:rtlGutter w:val="0"/>
          <w:docGrid w:type="linesAndChars" w:linePitch="607" w:charSpace="0"/>
        </w:sectPr>
      </w:pPr>
      <w:r>
        <w:rPr>
          <w:rFonts w:hint="eastAsia" w:ascii="仿宋_GB2312"/>
          <w:b w:val="0"/>
          <w:bCs w:val="0"/>
          <w:sz w:val="32"/>
          <w:szCs w:val="32"/>
          <w:u w:val="none"/>
        </w:rPr>
        <w:t>坚持用规划经营城市，科学指导土地储备工作，实现土地价值最大化。编制</w:t>
      </w:r>
      <w:r>
        <w:rPr>
          <w:rFonts w:hint="eastAsia"/>
          <w:b w:val="0"/>
          <w:bCs w:val="0"/>
          <w:sz w:val="32"/>
          <w:szCs w:val="32"/>
          <w:u w:val="none"/>
        </w:rPr>
        <w:t>土地</w:t>
      </w:r>
      <w:r>
        <w:rPr>
          <w:rFonts w:hint="eastAsia" w:ascii="仿宋_GB2312"/>
          <w:b w:val="0"/>
          <w:bCs w:val="0"/>
          <w:sz w:val="32"/>
          <w:szCs w:val="32"/>
          <w:u w:val="none"/>
        </w:rPr>
        <w:t>储备规划，统筹确定近期土地储备总量，划定储备用地的区域范围，合理安排储备用地开发时序，适当控制成片开发区域内重点地段的土地资源，提高国土空间应对未来发展的弹性。推进</w:t>
      </w:r>
      <w:r>
        <w:rPr>
          <w:rFonts w:hint="eastAsia"/>
          <w:b w:val="0"/>
          <w:bCs w:val="0"/>
          <w:sz w:val="32"/>
          <w:szCs w:val="32"/>
          <w:u w:val="none"/>
        </w:rPr>
        <w:t>3</w:t>
      </w:r>
      <w:r>
        <w:rPr>
          <w:rFonts w:hint="eastAsia" w:ascii="仿宋_GB2312"/>
          <w:b w:val="0"/>
          <w:bCs w:val="0"/>
          <w:sz w:val="32"/>
          <w:szCs w:val="32"/>
          <w:u w:val="none"/>
        </w:rPr>
        <w:t>万余亩产业用地整备工作，加快推进产业</w:t>
      </w:r>
      <w:r>
        <w:rPr>
          <w:rFonts w:hint="eastAsia"/>
          <w:b w:val="0"/>
          <w:bCs w:val="0"/>
          <w:sz w:val="32"/>
          <w:szCs w:val="32"/>
          <w:u w:val="none"/>
        </w:rPr>
        <w:t>5</w:t>
      </w:r>
      <w:r>
        <w:rPr>
          <w:rFonts w:hint="eastAsia" w:ascii="仿宋_GB2312"/>
          <w:b w:val="0"/>
          <w:bCs w:val="0"/>
          <w:sz w:val="32"/>
          <w:szCs w:val="32"/>
          <w:u w:val="none"/>
        </w:rPr>
        <w:t>.</w:t>
      </w:r>
      <w:r>
        <w:rPr>
          <w:rFonts w:hint="eastAsia"/>
          <w:b w:val="0"/>
          <w:bCs w:val="0"/>
          <w:sz w:val="32"/>
          <w:szCs w:val="32"/>
          <w:u w:val="none"/>
        </w:rPr>
        <w:t>0</w:t>
      </w:r>
      <w:r>
        <w:rPr>
          <w:rFonts w:hint="eastAsia" w:ascii="仿宋_GB2312"/>
          <w:b w:val="0"/>
          <w:bCs w:val="0"/>
          <w:sz w:val="32"/>
          <w:szCs w:val="32"/>
          <w:u w:val="none"/>
        </w:rPr>
        <w:t>新空间建设。谋划开展后环地区、“洪保十”地区土地储备前期工作。</w:t>
      </w:r>
      <w:r>
        <w:rPr>
          <w:rFonts w:hint="eastAsia"/>
          <w:b w:val="0"/>
          <w:bCs w:val="0"/>
          <w:sz w:val="32"/>
          <w:szCs w:val="32"/>
          <w:u w:val="none"/>
        </w:rPr>
        <w:t xml:space="preserve"> </w:t>
      </w:r>
    </w:p>
    <w:p>
      <w:pPr>
        <w:pStyle w:val="2"/>
        <w:ind w:left="0" w:leftChars="0" w:firstLine="0" w:firstLineChars="0"/>
        <w:rPr>
          <w:rFonts w:hint="eastAsia" w:eastAsia="仿宋_GB2312"/>
          <w:b w:val="0"/>
          <w:bCs w:val="0"/>
          <w:u w:val="none"/>
          <w:lang w:eastAsia="zh-CN"/>
        </w:rPr>
      </w:pPr>
    </w:p>
    <w:p>
      <w:pPr>
        <w:rPr>
          <w:rFonts w:hint="eastAsia" w:eastAsia="仿宋_GB2312"/>
          <w:b w:val="0"/>
          <w:bCs w:val="0"/>
          <w:u w:val="none"/>
          <w:lang w:eastAsia="zh-CN"/>
        </w:rPr>
      </w:pPr>
    </w:p>
    <w:p>
      <w:pPr>
        <w:pStyle w:val="2"/>
        <w:rPr>
          <w:rFonts w:hint="eastAsia" w:eastAsia="仿宋_GB2312"/>
          <w:b w:val="0"/>
          <w:bCs w:val="0"/>
          <w:u w:val="none"/>
          <w:lang w:eastAsia="zh-CN"/>
        </w:rPr>
      </w:pPr>
    </w:p>
    <w:p>
      <w:pPr>
        <w:rPr>
          <w:rFonts w:hint="eastAsia" w:eastAsia="仿宋_GB2312"/>
          <w:b w:val="0"/>
          <w:bCs w:val="0"/>
          <w:u w:val="none"/>
          <w:lang w:eastAsia="zh-CN"/>
        </w:rPr>
      </w:pPr>
    </w:p>
    <w:p>
      <w:pPr>
        <w:pStyle w:val="2"/>
        <w:rPr>
          <w:rFonts w:hint="eastAsia" w:eastAsia="仿宋_GB2312"/>
          <w:b w:val="0"/>
          <w:bCs w:val="0"/>
          <w:u w:val="none"/>
          <w:lang w:eastAsia="zh-CN"/>
        </w:rPr>
      </w:pPr>
    </w:p>
    <w:p>
      <w:pPr>
        <w:rPr>
          <w:rFonts w:hint="eastAsia" w:eastAsia="仿宋_GB2312"/>
          <w:b w:val="0"/>
          <w:bCs w:val="0"/>
          <w:u w:val="none"/>
          <w:lang w:eastAsia="zh-CN"/>
        </w:rPr>
      </w:pPr>
    </w:p>
    <w:p>
      <w:pPr>
        <w:pStyle w:val="2"/>
        <w:rPr>
          <w:rFonts w:hint="eastAsia" w:eastAsia="仿宋_GB2312"/>
          <w:b w:val="0"/>
          <w:bCs w:val="0"/>
          <w:u w:val="none"/>
          <w:lang w:eastAsia="zh-CN"/>
        </w:rPr>
      </w:pPr>
    </w:p>
    <w:p>
      <w:pPr>
        <w:rPr>
          <w:rFonts w:hint="eastAsia" w:eastAsia="仿宋_GB2312"/>
          <w:b w:val="0"/>
          <w:bCs w:val="0"/>
          <w:u w:val="none"/>
          <w:lang w:eastAsia="zh-CN"/>
        </w:rPr>
      </w:pPr>
    </w:p>
    <w:p>
      <w:pPr>
        <w:pStyle w:val="2"/>
        <w:rPr>
          <w:rFonts w:hint="eastAsia" w:eastAsia="仿宋_GB2312"/>
          <w:b w:val="0"/>
          <w:bCs w:val="0"/>
          <w:u w:val="none"/>
          <w:lang w:eastAsia="zh-CN"/>
        </w:rPr>
      </w:pPr>
    </w:p>
    <w:p>
      <w:pPr>
        <w:rPr>
          <w:rFonts w:hint="eastAsia" w:eastAsia="仿宋_GB2312"/>
          <w:b w:val="0"/>
          <w:bCs w:val="0"/>
          <w:u w:val="none"/>
          <w:lang w:eastAsia="zh-CN"/>
        </w:rPr>
      </w:pPr>
    </w:p>
    <w:p>
      <w:pPr>
        <w:pStyle w:val="2"/>
        <w:rPr>
          <w:rFonts w:hint="eastAsia" w:eastAsia="仿宋_GB2312"/>
          <w:b w:val="0"/>
          <w:bCs w:val="0"/>
          <w:u w:val="none"/>
          <w:lang w:eastAsia="zh-CN"/>
        </w:rPr>
      </w:pPr>
    </w:p>
    <w:p>
      <w:pPr>
        <w:rPr>
          <w:rFonts w:hint="eastAsia" w:eastAsia="仿宋_GB2312"/>
          <w:b w:val="0"/>
          <w:bCs w:val="0"/>
          <w:u w:val="none"/>
          <w:lang w:eastAsia="zh-CN"/>
        </w:rPr>
      </w:pPr>
    </w:p>
    <w:p>
      <w:pPr>
        <w:pStyle w:val="2"/>
        <w:rPr>
          <w:rFonts w:hint="eastAsia" w:eastAsia="仿宋_GB2312"/>
          <w:b w:val="0"/>
          <w:bCs w:val="0"/>
          <w:u w:val="none"/>
          <w:lang w:eastAsia="zh-CN"/>
        </w:rPr>
      </w:pPr>
    </w:p>
    <w:p>
      <w:pPr>
        <w:rPr>
          <w:rFonts w:hint="eastAsia" w:eastAsia="仿宋_GB2312"/>
          <w:b w:val="0"/>
          <w:bCs w:val="0"/>
          <w:u w:val="none"/>
          <w:lang w:eastAsia="zh-CN"/>
        </w:r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579" w:lineRule="exact"/>
        <w:ind w:left="1164" w:leftChars="88" w:hanging="900" w:hangingChars="300"/>
        <w:textAlignment w:val="auto"/>
        <w:rPr>
          <w:rFonts w:hint="eastAsia" w:eastAsia="仿宋_GB2312"/>
          <w:b w:val="0"/>
          <w:bCs w:val="0"/>
          <w:u w:val="none"/>
          <w:lang w:eastAsia="zh-CN"/>
        </w:rPr>
      </w:pPr>
    </w:p>
    <w:sectPr>
      <w:footerReference r:id="rId15" w:type="default"/>
      <w:pgSz w:w="11906" w:h="16838"/>
      <w:pgMar w:top="2041" w:right="1531" w:bottom="2041" w:left="1531" w:header="851" w:footer="1531" w:gutter="0"/>
      <w:paperSrc/>
      <w:pgNumType w:fmt="decimal"/>
      <w:cols w:space="720" w:num="1"/>
      <w:rtlGutter w:val="0"/>
      <w:docGrid w:type="linesAndChars" w:linePitch="60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00"/>
      </w:pPr>
      <w:r>
        <w:separator/>
      </w:r>
    </w:p>
  </w:endnote>
  <w:endnote w:type="continuationSeparator" w:id="1">
    <w:p>
      <w:pPr>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22C49A5-1CAA-4013-8F7A-96C2099B56A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178CFC4-64CD-4283-8543-68E1C0CB33F2}"/>
  </w:font>
  <w:font w:name="仿宋_GB2312">
    <w:altName w:val="仿宋"/>
    <w:panose1 w:val="02010609030101010101"/>
    <w:charset w:val="86"/>
    <w:family w:val="modern"/>
    <w:pitch w:val="default"/>
    <w:sig w:usb0="00000001" w:usb1="080E0000" w:usb2="00000000" w:usb3="00000000" w:csb0="00040000" w:csb1="00000000"/>
    <w:embedRegular r:id="rId3" w:fontKey="{8D3D1405-5168-42C0-81D8-FB1964CC09DF}"/>
  </w:font>
  <w:font w:name="方正小标宋简体">
    <w:panose1 w:val="02000000000000000000"/>
    <w:charset w:val="86"/>
    <w:family w:val="auto"/>
    <w:pitch w:val="default"/>
    <w:sig w:usb0="00000001" w:usb1="08000000" w:usb2="00000000" w:usb3="00000000" w:csb0="00040000" w:csb1="00000000"/>
    <w:embedRegular r:id="rId4" w:fontKey="{091D2A95-3023-4465-994A-6F841DC7BC36}"/>
  </w:font>
  <w:font w:name="Arial">
    <w:panose1 w:val="020B0604020202020204"/>
    <w:charset w:val="00"/>
    <w:family w:val="swiss"/>
    <w:pitch w:val="default"/>
    <w:sig w:usb0="E0002EFF" w:usb1="C000785B" w:usb2="00000009" w:usb3="00000000" w:csb0="400001FF" w:csb1="FFFF0000"/>
  </w:font>
  <w:font w:name="华文细黑">
    <w:altName w:val="微软雅黑"/>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auto"/>
    <w:pitch w:val="default"/>
    <w:sig w:usb0="00000001" w:usb1="080E0000" w:usb2="00000000" w:usb3="00000000" w:csb0="00040000" w:csb1="00000000"/>
    <w:embedRegular r:id="rId5" w:fontKey="{D3924184-9C6E-4A81-994B-CDEA0063FCB8}"/>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6" w:fontKey="{006B5DC0-9722-45E7-B112-EF945AD4C749}"/>
  </w:font>
  <w:font w:name="微软雅黑">
    <w:panose1 w:val="020B0503020204020204"/>
    <w:charset w:val="86"/>
    <w:family w:val="swiss"/>
    <w:pitch w:val="default"/>
    <w:sig w:usb0="80000287" w:usb1="2ACF3C50" w:usb2="00000016" w:usb3="00000000" w:csb0="0004001F" w:csb1="00000000"/>
    <w:embedRegular r:id="rId7" w:fontKey="{5157B58A-6926-4A0A-AE4F-8C416D104C49}"/>
  </w:font>
  <w:font w:name="Calibri Light">
    <w:panose1 w:val="020F03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right"/>
    </w:pPr>
  </w:p>
  <w:p>
    <w:pPr>
      <w:pStyle w:val="2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right"/>
    </w:pPr>
  </w:p>
  <w:p>
    <w:pPr>
      <w:pStyle w:val="2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-144780</wp:posOffset>
              </wp:positionV>
              <wp:extent cx="1151890" cy="461010"/>
              <wp:effectExtent l="0" t="0" r="0" b="0"/>
              <wp:wrapNone/>
              <wp:docPr id="1" name="文本框 8"/>
              <wp:cNvGraphicFramePr/>
              <a:graphic xmlns:a="http://schemas.openxmlformats.org/drawingml/2006/main">
                <a:graphicData uri="http://schemas.microsoft.com/office/word/2010/wordprocessingShape">
                  <wps:wsp>
                    <wps:cNvSpPr txBox="1"/>
                    <wps:spPr>
                      <a:xfrm>
                        <a:off x="0" y="0"/>
                        <a:ext cx="1151890" cy="461010"/>
                      </a:xfrm>
                      <a:prstGeom prst="rect">
                        <a:avLst/>
                      </a:prstGeom>
                      <a:noFill/>
                      <a:ln w="15875">
                        <a:noFill/>
                      </a:ln>
                    </wps:spPr>
                    <wps:txbx>
                      <w:txbxContent>
                        <w:p>
                          <w:pPr>
                            <w:pStyle w:val="22"/>
                            <w:ind w:left="0" w:leftChars="0" w:firstLine="280" w:firstLineChars="100"/>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wps:txbx>
                    <wps:bodyPr vert="horz" wrap="square" lIns="0" tIns="0" rIns="0" bIns="0" anchor="t" anchorCtr="0" upright="0"/>
                  </wps:wsp>
                </a:graphicData>
              </a:graphic>
            </wp:anchor>
          </w:drawing>
        </mc:Choice>
        <mc:Fallback>
          <w:pict>
            <v:shape id="文本框 8" o:spid="_x0000_s1026" o:spt="202" type="#_x0000_t202" style="position:absolute;left:0pt;margin-top:-11.4pt;height:36.3pt;width:90.7pt;mso-position-horizontal:outside;mso-position-horizontal-relative:margin;z-index:251659264;mso-width-relative:page;mso-height-relative:page;" filled="f" stroked="f" coordsize="21600,21600" o:gfxdata="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mvpP91wAAAAcBAAAP&#10;AAAAAAAAAAEAIAAAACIAAABkcnMvZG93bnJldi54bWxQSwECFAAUAAAACACHTuJAmH43yOABAACv&#10;AwAADgAAAAAAAAABACAAAAAmAQAAZHJzL2Uyb0RvYy54bWxQSwUGAAAAAAYABgBZAQAAeAUAAAAA&#10;">
              <v:fill on="f" focussize="0,0"/>
              <v:stroke on="f" weight="1.25pt"/>
              <v:imagedata o:title=""/>
              <o:lock v:ext="edit" aspectratio="f"/>
              <v:textbox inset="0mm,0mm,0mm,0mm">
                <w:txbxContent>
                  <w:p>
                    <w:pPr>
                      <w:pStyle w:val="22"/>
                      <w:ind w:left="0" w:leftChars="0" w:firstLine="280" w:firstLineChars="100"/>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cente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4">
    <w:p>
      <w:pPr>
        <w:ind w:firstLine="600"/>
      </w:pPr>
      <w:r>
        <w:separator/>
      </w:r>
    </w:p>
  </w:footnote>
  <w:footnote w:type="continuationSeparator" w:id="35">
    <w:p>
      <w:pPr>
        <w:ind w:firstLine="600"/>
      </w:pPr>
      <w:r>
        <w:continuationSeparator/>
      </w:r>
    </w:p>
  </w:footnote>
  <w:footnote w:id="0">
    <w:p>
      <w:pPr>
        <w:pStyle w:val="26"/>
        <w:ind w:firstLine="360"/>
        <w:rPr>
          <w:rFonts w:hint="eastAsia"/>
        </w:rPr>
      </w:pPr>
      <w:r>
        <w:rPr>
          <w:rStyle w:val="39"/>
        </w:rPr>
        <w:footnoteRef/>
      </w:r>
      <w:r>
        <w:t xml:space="preserve"> </w:t>
      </w:r>
      <w:r>
        <w:rPr>
          <w:rFonts w:hint="eastAsia"/>
        </w:rPr>
        <w:t>洪湾、保税区、十字门北片区</w:t>
      </w:r>
    </w:p>
  </w:footnote>
  <w:footnote w:id="1">
    <w:p>
      <w:pPr>
        <w:pStyle w:val="26"/>
        <w:ind w:firstLine="360"/>
        <w:rPr>
          <w:rFonts w:hint="eastAsia"/>
        </w:rPr>
      </w:pPr>
      <w:r>
        <w:rPr>
          <w:rStyle w:val="39"/>
        </w:rPr>
        <w:footnoteRef/>
      </w:r>
      <w:r>
        <w:rPr>
          <w:rFonts w:hint="eastAsia"/>
        </w:rPr>
        <w:t>陆域国土基数使用2020年国土变更调查成果数据（自然资源部2022年7月“三区三线”“二下”成果下发确认的版本）</w:t>
      </w:r>
    </w:p>
  </w:footnote>
  <w:footnote w:id="2">
    <w:p>
      <w:pPr>
        <w:pStyle w:val="26"/>
        <w:ind w:firstLine="360"/>
        <w:rPr>
          <w:rFonts w:hint="eastAsia"/>
        </w:rPr>
      </w:pPr>
      <w:r>
        <w:rPr>
          <w:rStyle w:val="39"/>
        </w:rPr>
        <w:footnoteRef/>
      </w:r>
      <w:r>
        <w:rPr>
          <w:rFonts w:hint="eastAsia"/>
        </w:rPr>
        <w:t>《珠海市国民经济和社会发展第十四个五年规划和二〇三五年远景目标纲要》</w:t>
      </w:r>
    </w:p>
  </w:footnote>
  <w:footnote w:id="3">
    <w:p>
      <w:pPr>
        <w:pStyle w:val="26"/>
        <w:ind w:firstLine="360"/>
        <w:rPr>
          <w:rFonts w:hint="eastAsia"/>
        </w:rPr>
      </w:pPr>
      <w:r>
        <w:rPr>
          <w:rStyle w:val="39"/>
        </w:rPr>
        <w:footnoteRef/>
      </w:r>
      <w:r>
        <w:t xml:space="preserve"> </w:t>
      </w:r>
      <w:r>
        <w:rPr>
          <w:rFonts w:hint="eastAsia"/>
        </w:rPr>
        <w:t>《广东省委省政府关于支持珠海建设新时代中国特色社会主义现代化国际化经济特区的意见》</w:t>
      </w:r>
    </w:p>
  </w:footnote>
  <w:footnote w:id="4">
    <w:p>
      <w:pPr>
        <w:pStyle w:val="26"/>
        <w:ind w:firstLine="360"/>
        <w:rPr>
          <w:rFonts w:hint="eastAsia"/>
        </w:rPr>
      </w:pPr>
      <w:r>
        <w:rPr>
          <w:rStyle w:val="39"/>
        </w:rPr>
        <w:footnoteRef/>
      </w:r>
      <w:r>
        <w:t xml:space="preserve"> </w:t>
      </w:r>
      <w:r>
        <w:rPr>
          <w:rFonts w:hint="eastAsia"/>
        </w:rPr>
        <w:t>《珠海市国民经济和社会发展第十四个五年规划和二〇三五年远景目标纲要》</w:t>
      </w:r>
    </w:p>
  </w:footnote>
  <w:footnote w:id="5">
    <w:p>
      <w:pPr>
        <w:pStyle w:val="26"/>
        <w:ind w:firstLine="360"/>
        <w:rPr>
          <w:rFonts w:hint="eastAsia"/>
        </w:rPr>
      </w:pPr>
      <w:r>
        <w:rPr>
          <w:rStyle w:val="39"/>
        </w:rPr>
        <w:footnoteRef/>
      </w:r>
      <w:r>
        <w:t xml:space="preserve"> </w:t>
      </w:r>
      <w:r>
        <w:rPr>
          <w:rFonts w:hint="eastAsia"/>
        </w:rPr>
        <w:t>《珠海市国民经济和社会发展第十四个五年规划和二〇三五年远景目标纲要》</w:t>
      </w:r>
    </w:p>
  </w:footnote>
  <w:footnote w:id="6">
    <w:p>
      <w:pPr>
        <w:pStyle w:val="26"/>
        <w:ind w:firstLine="360"/>
        <w:rPr>
          <w:rFonts w:hint="eastAsia"/>
        </w:rPr>
      </w:pPr>
      <w:r>
        <w:rPr>
          <w:rStyle w:val="39"/>
        </w:rPr>
        <w:footnoteRef/>
      </w:r>
      <w:r>
        <w:rPr>
          <w:rFonts w:hint="eastAsia"/>
        </w:rPr>
        <w:t>《广东省委省政府关于支持珠海建设新时代中国特色社会主义现代化国际化经济特区的意见》</w:t>
      </w:r>
    </w:p>
  </w:footnote>
  <w:footnote w:id="7">
    <w:p>
      <w:pPr>
        <w:pStyle w:val="26"/>
        <w:ind w:firstLine="360"/>
        <w:rPr>
          <w:rFonts w:hint="eastAsia"/>
        </w:rPr>
      </w:pPr>
      <w:r>
        <w:rPr>
          <w:rStyle w:val="39"/>
        </w:rPr>
        <w:footnoteRef/>
      </w:r>
      <w:r>
        <w:t xml:space="preserve"> </w:t>
      </w:r>
      <w:r>
        <w:rPr>
          <w:rFonts w:hint="eastAsia"/>
        </w:rPr>
        <w:t>《广东省委省政府关于支持珠海建设新时代中国特色社会主义现代化国际化经济特区的意见》</w:t>
      </w:r>
    </w:p>
  </w:footnote>
  <w:footnote w:id="8">
    <w:p>
      <w:pPr>
        <w:pStyle w:val="26"/>
        <w:ind w:firstLine="360"/>
        <w:rPr>
          <w:rFonts w:hint="eastAsia"/>
        </w:rPr>
      </w:pPr>
      <w:r>
        <w:rPr>
          <w:rStyle w:val="39"/>
        </w:rPr>
        <w:footnoteRef/>
      </w:r>
      <w:r>
        <w:t>《珠江三角洲地区改革发展规划纲要(2008—2020年)》</w:t>
      </w:r>
      <w:r>
        <w:rPr>
          <w:rFonts w:hint="eastAsia"/>
        </w:rPr>
        <w:t>《广东省委省政府关于支持珠海建设新时代中国特色社会主义现代化国际化经济特区的意见》</w:t>
      </w:r>
    </w:p>
  </w:footnote>
  <w:footnote w:id="9">
    <w:p>
      <w:pPr>
        <w:pStyle w:val="26"/>
        <w:ind w:firstLine="360"/>
        <w:rPr>
          <w:rFonts w:hint="eastAsia"/>
        </w:rPr>
      </w:pPr>
      <w:r>
        <w:rPr>
          <w:rStyle w:val="39"/>
        </w:rPr>
        <w:footnoteRef/>
      </w:r>
      <w:r>
        <w:t xml:space="preserve"> </w:t>
      </w:r>
      <w:r>
        <w:rPr>
          <w:rFonts w:hint="eastAsia"/>
        </w:rPr>
        <w:t>《广东省委省政府关于支持珠海建设新时代中国特色社会主义现代化国际化经济特区的意见》《广东省综合交通运输体系“十四五”发展规划》</w:t>
      </w:r>
    </w:p>
  </w:footnote>
  <w:footnote w:id="10">
    <w:p>
      <w:pPr>
        <w:pStyle w:val="26"/>
        <w:ind w:firstLine="360"/>
        <w:rPr>
          <w:rFonts w:hint="eastAsia"/>
        </w:rPr>
      </w:pPr>
      <w:r>
        <w:rPr>
          <w:rStyle w:val="39"/>
        </w:rPr>
        <w:footnoteRef/>
      </w:r>
      <w:r>
        <w:t xml:space="preserve"> </w:t>
      </w:r>
      <w:r>
        <w:rPr>
          <w:rFonts w:hint="eastAsia"/>
        </w:rPr>
        <w:t>《广东省海岸带综合保护与利用总体规划》</w:t>
      </w:r>
    </w:p>
  </w:footnote>
  <w:footnote w:id="11">
    <w:p>
      <w:pPr>
        <w:pStyle w:val="26"/>
        <w:ind w:firstLine="360"/>
        <w:rPr>
          <w:rFonts w:hint="eastAsia"/>
        </w:rPr>
      </w:pPr>
      <w:r>
        <w:rPr>
          <w:rStyle w:val="39"/>
        </w:rPr>
        <w:footnoteRef/>
      </w:r>
      <w:r>
        <w:rPr>
          <w:rFonts w:hint="eastAsia"/>
        </w:rPr>
        <w:t>《国务院关于珠海市城市总体规划的批复》（国函【2</w:t>
      </w:r>
      <w:r>
        <w:t>015】</w:t>
      </w:r>
      <w:r>
        <w:rPr>
          <w:rFonts w:hint="eastAsia"/>
        </w:rPr>
        <w:t>11 号）中，同意了珠海作为“滨海风景旅游城市”的城市性质</w:t>
      </w:r>
    </w:p>
  </w:footnote>
  <w:footnote w:id="12">
    <w:p>
      <w:pPr>
        <w:pStyle w:val="26"/>
        <w:ind w:firstLine="360"/>
        <w:rPr>
          <w:rFonts w:hint="eastAsia"/>
        </w:rPr>
      </w:pPr>
      <w:r>
        <w:rPr>
          <w:rStyle w:val="39"/>
        </w:rPr>
        <w:footnoteRef/>
      </w:r>
      <w:r>
        <w:rPr>
          <w:rFonts w:hint="eastAsia"/>
        </w:rPr>
        <w:t>主线一：以粤港澳大湾区建设为契机，建设珠江口西岸核心城市；主线二：以生态文明思想为引领，擦亮生态宜居品牌；一个协同：协同澳门建设澳珠极点，促进澳门产业多元化发展。</w:t>
      </w:r>
    </w:p>
  </w:footnote>
  <w:footnote w:id="13">
    <w:p>
      <w:pPr>
        <w:pStyle w:val="26"/>
        <w:ind w:firstLine="360"/>
        <w:rPr>
          <w:rFonts w:hint="eastAsia"/>
        </w:rPr>
      </w:pPr>
      <w:r>
        <w:rPr>
          <w:rStyle w:val="39"/>
        </w:rPr>
        <w:footnoteRef/>
      </w:r>
      <w:r>
        <w:t xml:space="preserve"> </w:t>
      </w:r>
      <w:r>
        <w:rPr>
          <w:rFonts w:hint="eastAsia"/>
        </w:rPr>
        <w:t>策略一支撑“一个协同”，策略二、策略三、策略四、策略五支撑“主线一”，策略六、策略七、策略八支撑“主线二”。</w:t>
      </w:r>
    </w:p>
  </w:footnote>
  <w:footnote w:id="14">
    <w:p>
      <w:pPr>
        <w:pStyle w:val="26"/>
        <w:ind w:firstLine="360"/>
        <w:rPr>
          <w:rFonts w:hint="eastAsia"/>
        </w:rPr>
      </w:pPr>
      <w:r>
        <w:rPr>
          <w:rStyle w:val="39"/>
        </w:rPr>
        <w:footnoteRef/>
      </w:r>
      <w:r>
        <w:t xml:space="preserve"> *为必配设施</w:t>
      </w:r>
    </w:p>
  </w:footnote>
  <w:footnote w:id="15">
    <w:p>
      <w:pPr>
        <w:pStyle w:val="26"/>
        <w:ind w:firstLine="360"/>
        <w:rPr>
          <w:color w:val="FF0000"/>
        </w:rPr>
      </w:pPr>
      <w:r>
        <w:rPr>
          <w:rStyle w:val="39"/>
        </w:rPr>
        <w:footnoteRef/>
      </w:r>
      <w:r>
        <w:t xml:space="preserve"> </w:t>
      </w:r>
      <w:r>
        <w:rPr>
          <w:rFonts w:hint="eastAsia"/>
        </w:rPr>
        <w:t>“两桥三隧”即横琴二桥、横琴大桥、杧洲隧道、横琴隧道、十字门隧道。</w:t>
      </w:r>
    </w:p>
  </w:footnote>
  <w:footnote w:id="16">
    <w:p>
      <w:pPr>
        <w:pStyle w:val="26"/>
        <w:ind w:firstLine="360"/>
        <w:rPr>
          <w:rFonts w:hint="eastAsia"/>
        </w:rPr>
      </w:pPr>
      <w:r>
        <w:rPr>
          <w:rStyle w:val="39"/>
        </w:rPr>
        <w:footnoteRef/>
      </w:r>
      <w:r>
        <w:t xml:space="preserve"> 三度是指</w:t>
      </w:r>
      <w:r>
        <w:rPr>
          <w:rFonts w:hint="eastAsia"/>
        </w:rPr>
        <w:t>人口密度、开发强度、建筑高度；三线是指水岸线、山脊线、天际线。</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E9B901"/>
    <w:multiLevelType w:val="multilevel"/>
    <w:tmpl w:val="97E9B901"/>
    <w:lvl w:ilvl="0" w:tentative="0">
      <w:start w:val="1"/>
      <w:numFmt w:val="chineseCounting"/>
      <w:pStyle w:val="3"/>
      <w:suff w:val="space"/>
      <w:lvlText w:val="第%1章 "/>
      <w:lvlJc w:val="left"/>
      <w:pPr>
        <w:tabs>
          <w:tab w:val="left" w:pos="0"/>
        </w:tabs>
        <w:ind w:left="0" w:firstLine="402"/>
      </w:pPr>
      <w:rPr>
        <w:rFonts w:hint="eastAsia" w:ascii="方正小标宋简体" w:hAnsi="方正小标宋简体" w:eastAsia="方正小标宋简体" w:cs="方正小标宋简体"/>
        <w:sz w:val="44"/>
        <w:szCs w:val="44"/>
      </w:rPr>
    </w:lvl>
    <w:lvl w:ilvl="1" w:tentative="0">
      <w:start w:val="1"/>
      <w:numFmt w:val="chineseCounting"/>
      <w:pStyle w:val="81"/>
      <w:suff w:val="space"/>
      <w:lvlText w:val="第%2节"/>
      <w:lvlJc w:val="left"/>
      <w:pPr>
        <w:tabs>
          <w:tab w:val="left" w:pos="420"/>
        </w:tabs>
        <w:ind w:left="0" w:firstLine="402"/>
      </w:pPr>
      <w:rPr>
        <w:rFonts w:hint="eastAsia" w:ascii="宋体" w:hAnsi="宋体" w:eastAsia="黑体" w:cs="黑体"/>
        <w:sz w:val="32"/>
        <w:szCs w:val="32"/>
      </w:rPr>
    </w:lvl>
    <w:lvl w:ilvl="2" w:tentative="0">
      <w:start w:val="1"/>
      <w:numFmt w:val="decimal"/>
      <w:lvlRestart w:val="0"/>
      <w:pStyle w:val="85"/>
      <w:suff w:val="space"/>
      <w:lvlText w:val="第%3条"/>
      <w:lvlJc w:val="left"/>
      <w:pPr>
        <w:tabs>
          <w:tab w:val="left" w:pos="420"/>
        </w:tabs>
        <w:ind w:left="198" w:firstLine="402"/>
      </w:pPr>
      <w:rPr>
        <w:rFonts w:hint="default" w:ascii="Times New Roman" w:hAnsi="Times New Roman" w:eastAsia="黑体" w:cs="黑体"/>
        <w:sz w:val="32"/>
        <w:szCs w:val="32"/>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D39C9291"/>
    <w:multiLevelType w:val="multilevel"/>
    <w:tmpl w:val="D39C9291"/>
    <w:lvl w:ilvl="0" w:tentative="0">
      <w:start w:val="1"/>
      <w:numFmt w:val="chineseCounting"/>
      <w:suff w:val="space"/>
      <w:lvlText w:val="第%1节 "/>
      <w:lvlJc w:val="left"/>
      <w:pPr>
        <w:tabs>
          <w:tab w:val="left" w:pos="0"/>
        </w:tabs>
        <w:ind w:left="0" w:firstLine="0"/>
      </w:pPr>
      <w:rPr>
        <w:rFonts w:hint="eastAsia" w:ascii="Times New Roman" w:hAnsi="Times New Roman" w:eastAsia="黑体" w:cs="宋体"/>
        <w:b w:val="0"/>
        <w:bCs w:val="0"/>
        <w:sz w:val="32"/>
        <w:szCs w:val="32"/>
      </w:rPr>
    </w:lvl>
    <w:lvl w:ilvl="1" w:tentative="0">
      <w:start w:val="1"/>
      <w:numFmt w:val="lowerLetter"/>
      <w:lvlText w:val="%2)"/>
      <w:lvlJc w:val="left"/>
      <w:pPr>
        <w:ind w:left="3675" w:hanging="420"/>
      </w:pPr>
      <w:rPr>
        <w:rFonts w:hint="eastAsia"/>
      </w:rPr>
    </w:lvl>
    <w:lvl w:ilvl="2" w:tentative="0">
      <w:start w:val="1"/>
      <w:numFmt w:val="lowerRoman"/>
      <w:lvlText w:val="%3."/>
      <w:lvlJc w:val="right"/>
      <w:pPr>
        <w:ind w:left="4095" w:hanging="420"/>
      </w:pPr>
      <w:rPr>
        <w:rFonts w:hint="eastAsia"/>
      </w:rPr>
    </w:lvl>
    <w:lvl w:ilvl="3" w:tentative="0">
      <w:start w:val="1"/>
      <w:numFmt w:val="decimal"/>
      <w:lvlText w:val="%4."/>
      <w:lvlJc w:val="left"/>
      <w:pPr>
        <w:ind w:left="4515" w:hanging="420"/>
      </w:pPr>
      <w:rPr>
        <w:rFonts w:hint="eastAsia"/>
      </w:rPr>
    </w:lvl>
    <w:lvl w:ilvl="4" w:tentative="0">
      <w:start w:val="1"/>
      <w:numFmt w:val="lowerLetter"/>
      <w:lvlText w:val="%5)"/>
      <w:lvlJc w:val="left"/>
      <w:pPr>
        <w:ind w:left="4935" w:hanging="420"/>
      </w:pPr>
      <w:rPr>
        <w:rFonts w:hint="eastAsia"/>
      </w:rPr>
    </w:lvl>
    <w:lvl w:ilvl="5" w:tentative="0">
      <w:start w:val="1"/>
      <w:numFmt w:val="lowerRoman"/>
      <w:lvlText w:val="%6."/>
      <w:lvlJc w:val="right"/>
      <w:pPr>
        <w:ind w:left="5355" w:hanging="420"/>
      </w:pPr>
      <w:rPr>
        <w:rFonts w:hint="eastAsia"/>
      </w:rPr>
    </w:lvl>
    <w:lvl w:ilvl="6" w:tentative="0">
      <w:start w:val="1"/>
      <w:numFmt w:val="decimal"/>
      <w:lvlText w:val="%7."/>
      <w:lvlJc w:val="left"/>
      <w:pPr>
        <w:ind w:left="5775" w:hanging="420"/>
      </w:pPr>
      <w:rPr>
        <w:rFonts w:hint="eastAsia"/>
      </w:rPr>
    </w:lvl>
    <w:lvl w:ilvl="7" w:tentative="0">
      <w:start w:val="1"/>
      <w:numFmt w:val="lowerLetter"/>
      <w:lvlText w:val="%8)"/>
      <w:lvlJc w:val="left"/>
      <w:pPr>
        <w:ind w:left="6195" w:hanging="420"/>
      </w:pPr>
      <w:rPr>
        <w:rFonts w:hint="eastAsia"/>
      </w:rPr>
    </w:lvl>
    <w:lvl w:ilvl="8" w:tentative="0">
      <w:start w:val="1"/>
      <w:numFmt w:val="lowerRoman"/>
      <w:lvlText w:val="%9."/>
      <w:lvlJc w:val="right"/>
      <w:pPr>
        <w:ind w:left="6615" w:hanging="420"/>
      </w:pPr>
      <w:rPr>
        <w:rFonts w:hint="eastAsia"/>
      </w:rPr>
    </w:lvl>
  </w:abstractNum>
  <w:abstractNum w:abstractNumId="2">
    <w:nsid w:val="D4A62690"/>
    <w:multiLevelType w:val="singleLevel"/>
    <w:tmpl w:val="D4A62690"/>
    <w:lvl w:ilvl="0" w:tentative="0">
      <w:start w:val="1"/>
      <w:numFmt w:val="decimal"/>
      <w:lvlText w:val="%1."/>
      <w:lvlJc w:val="left"/>
      <w:pPr>
        <w:tabs>
          <w:tab w:val="left" w:pos="312"/>
        </w:tabs>
      </w:pPr>
    </w:lvl>
  </w:abstractNum>
  <w:abstractNum w:abstractNumId="3">
    <w:nsid w:val="0000000C"/>
    <w:multiLevelType w:val="multilevel"/>
    <w:tmpl w:val="0000000C"/>
    <w:lvl w:ilvl="0" w:tentative="0">
      <w:start w:val="1"/>
      <w:numFmt w:val="decimal"/>
      <w:pStyle w:val="6"/>
      <w:lvlText w:val="%1."/>
      <w:lvlJc w:val="left"/>
      <w:pPr>
        <w:ind w:left="980" w:hanging="420"/>
      </w:pPr>
      <w:rPr>
        <w:rFonts w:hint="eastAsia"/>
      </w:rPr>
    </w:lvl>
    <w:lvl w:ilvl="1" w:tentative="0">
      <w:start w:val="1"/>
      <w:numFmt w:val="lowerLetter"/>
      <w:lvlText w:val="%2)"/>
      <w:lvlJc w:val="left"/>
      <w:pPr>
        <w:ind w:left="1336" w:hanging="420"/>
      </w:pPr>
      <w:rPr>
        <w:rFonts w:hint="eastAsia"/>
      </w:rPr>
    </w:lvl>
    <w:lvl w:ilvl="2" w:tentative="0">
      <w:start w:val="1"/>
      <w:numFmt w:val="lowerRoman"/>
      <w:lvlText w:val="%3."/>
      <w:lvlJc w:val="right"/>
      <w:pPr>
        <w:ind w:left="1756" w:hanging="420"/>
      </w:pPr>
      <w:rPr>
        <w:rFonts w:hint="eastAsia"/>
      </w:rPr>
    </w:lvl>
    <w:lvl w:ilvl="3" w:tentative="0">
      <w:start w:val="1"/>
      <w:numFmt w:val="decimal"/>
      <w:lvlText w:val="%4."/>
      <w:lvlJc w:val="left"/>
      <w:pPr>
        <w:ind w:left="2176" w:hanging="420"/>
      </w:pPr>
      <w:rPr>
        <w:rFonts w:hint="eastAsia"/>
      </w:rPr>
    </w:lvl>
    <w:lvl w:ilvl="4" w:tentative="0">
      <w:start w:val="1"/>
      <w:numFmt w:val="lowerLetter"/>
      <w:lvlText w:val="%5)"/>
      <w:lvlJc w:val="left"/>
      <w:pPr>
        <w:ind w:left="2596" w:hanging="420"/>
      </w:pPr>
      <w:rPr>
        <w:rFonts w:hint="eastAsia"/>
      </w:rPr>
    </w:lvl>
    <w:lvl w:ilvl="5" w:tentative="0">
      <w:start w:val="1"/>
      <w:numFmt w:val="lowerRoman"/>
      <w:lvlText w:val="%6."/>
      <w:lvlJc w:val="right"/>
      <w:pPr>
        <w:ind w:left="3016" w:hanging="420"/>
      </w:pPr>
      <w:rPr>
        <w:rFonts w:hint="eastAsia"/>
      </w:rPr>
    </w:lvl>
    <w:lvl w:ilvl="6" w:tentative="0">
      <w:start w:val="1"/>
      <w:numFmt w:val="decimal"/>
      <w:lvlText w:val="%7."/>
      <w:lvlJc w:val="left"/>
      <w:pPr>
        <w:ind w:left="3436" w:hanging="420"/>
      </w:pPr>
      <w:rPr>
        <w:rFonts w:hint="eastAsia"/>
      </w:rPr>
    </w:lvl>
    <w:lvl w:ilvl="7" w:tentative="0">
      <w:start w:val="1"/>
      <w:numFmt w:val="lowerLetter"/>
      <w:lvlText w:val="%8)"/>
      <w:lvlJc w:val="left"/>
      <w:pPr>
        <w:ind w:left="3856" w:hanging="420"/>
      </w:pPr>
      <w:rPr>
        <w:rFonts w:hint="eastAsia"/>
      </w:rPr>
    </w:lvl>
    <w:lvl w:ilvl="8" w:tentative="0">
      <w:start w:val="1"/>
      <w:numFmt w:val="lowerRoman"/>
      <w:lvlText w:val="%9."/>
      <w:lvlJc w:val="right"/>
      <w:pPr>
        <w:ind w:left="4276" w:hanging="420"/>
      </w:pPr>
      <w:rPr>
        <w:rFonts w:hint="eastAsia"/>
      </w:rPr>
    </w:lvl>
  </w:abstractNum>
  <w:abstractNum w:abstractNumId="4">
    <w:nsid w:val="0000000F"/>
    <w:multiLevelType w:val="multilevel"/>
    <w:tmpl w:val="0000000F"/>
    <w:lvl w:ilvl="0" w:tentative="0">
      <w:start w:val="1"/>
      <w:numFmt w:val="chineseCountingThousand"/>
      <w:pStyle w:val="65"/>
      <w:suff w:val="space"/>
      <w:lvlText w:val="第%1节 "/>
      <w:lvlJc w:val="left"/>
      <w:pPr>
        <w:ind w:left="3969" w:firstLine="0"/>
      </w:pPr>
      <w:rPr>
        <w:rFonts w:hint="eastAsia"/>
      </w:rPr>
    </w:lvl>
    <w:lvl w:ilvl="1" w:tentative="0">
      <w:start w:val="1"/>
      <w:numFmt w:val="lowerLetter"/>
      <w:lvlText w:val="%2)"/>
      <w:lvlJc w:val="left"/>
      <w:pPr>
        <w:ind w:left="3675" w:hanging="420"/>
      </w:pPr>
      <w:rPr>
        <w:rFonts w:hint="eastAsia"/>
      </w:rPr>
    </w:lvl>
    <w:lvl w:ilvl="2" w:tentative="0">
      <w:start w:val="1"/>
      <w:numFmt w:val="lowerRoman"/>
      <w:lvlText w:val="%3."/>
      <w:lvlJc w:val="right"/>
      <w:pPr>
        <w:ind w:left="4095" w:hanging="420"/>
      </w:pPr>
      <w:rPr>
        <w:rFonts w:hint="eastAsia"/>
      </w:rPr>
    </w:lvl>
    <w:lvl w:ilvl="3" w:tentative="0">
      <w:start w:val="1"/>
      <w:numFmt w:val="decimal"/>
      <w:lvlText w:val="%4."/>
      <w:lvlJc w:val="left"/>
      <w:pPr>
        <w:ind w:left="4515" w:hanging="420"/>
      </w:pPr>
      <w:rPr>
        <w:rFonts w:hint="eastAsia"/>
      </w:rPr>
    </w:lvl>
    <w:lvl w:ilvl="4" w:tentative="0">
      <w:start w:val="1"/>
      <w:numFmt w:val="lowerLetter"/>
      <w:lvlText w:val="%5)"/>
      <w:lvlJc w:val="left"/>
      <w:pPr>
        <w:ind w:left="4935" w:hanging="420"/>
      </w:pPr>
      <w:rPr>
        <w:rFonts w:hint="eastAsia"/>
      </w:rPr>
    </w:lvl>
    <w:lvl w:ilvl="5" w:tentative="0">
      <w:start w:val="1"/>
      <w:numFmt w:val="lowerRoman"/>
      <w:lvlText w:val="%6."/>
      <w:lvlJc w:val="right"/>
      <w:pPr>
        <w:ind w:left="5355" w:hanging="420"/>
      </w:pPr>
      <w:rPr>
        <w:rFonts w:hint="eastAsia"/>
      </w:rPr>
    </w:lvl>
    <w:lvl w:ilvl="6" w:tentative="0">
      <w:start w:val="1"/>
      <w:numFmt w:val="decimal"/>
      <w:lvlText w:val="%7."/>
      <w:lvlJc w:val="left"/>
      <w:pPr>
        <w:ind w:left="5775" w:hanging="420"/>
      </w:pPr>
      <w:rPr>
        <w:rFonts w:hint="eastAsia"/>
      </w:rPr>
    </w:lvl>
    <w:lvl w:ilvl="7" w:tentative="0">
      <w:start w:val="1"/>
      <w:numFmt w:val="lowerLetter"/>
      <w:lvlText w:val="%8)"/>
      <w:lvlJc w:val="left"/>
      <w:pPr>
        <w:ind w:left="6195" w:hanging="420"/>
      </w:pPr>
      <w:rPr>
        <w:rFonts w:hint="eastAsia"/>
      </w:rPr>
    </w:lvl>
    <w:lvl w:ilvl="8" w:tentative="0">
      <w:start w:val="1"/>
      <w:numFmt w:val="lowerRoman"/>
      <w:lvlText w:val="%9."/>
      <w:lvlJc w:val="right"/>
      <w:pPr>
        <w:ind w:left="6615" w:hanging="420"/>
      </w:pPr>
      <w:rPr>
        <w:rFonts w:hint="eastAsia"/>
      </w:rPr>
    </w:lvl>
  </w:abstractNum>
  <w:abstractNum w:abstractNumId="5">
    <w:nsid w:val="00000010"/>
    <w:multiLevelType w:val="multilevel"/>
    <w:tmpl w:val="00000010"/>
    <w:lvl w:ilvl="0" w:tentative="0">
      <w:start w:val="1"/>
      <w:numFmt w:val="chineseCountingThousand"/>
      <w:pStyle w:val="59"/>
      <w:lvlText w:val="第%1章"/>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E1B19F3"/>
    <w:multiLevelType w:val="multilevel"/>
    <w:tmpl w:val="4E1B19F3"/>
    <w:lvl w:ilvl="0" w:tentative="0">
      <w:start w:val="1"/>
      <w:numFmt w:val="chineseCountingThousand"/>
      <w:pStyle w:val="103"/>
      <w:lvlText w:val="(%1)"/>
      <w:lvlJc w:val="left"/>
      <w:pPr>
        <w:ind w:left="420" w:hanging="420"/>
      </w:pPr>
      <w:rPr>
        <w:rFonts w:hint="eastAsia" w:ascii="仿宋_GB2312" w:eastAsia="仿宋_GB231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F302902"/>
    <w:multiLevelType w:val="multilevel"/>
    <w:tmpl w:val="4F302902"/>
    <w:lvl w:ilvl="0" w:tentative="0">
      <w:start w:val="1"/>
      <w:numFmt w:val="none"/>
      <w:pStyle w:val="110"/>
      <w:lvlText w:val="表"/>
      <w:lvlJc w:val="left"/>
      <w:pPr>
        <w:tabs>
          <w:tab w:val="left" w:pos="360"/>
        </w:tabs>
        <w:ind w:left="0" w:firstLine="0"/>
      </w:pPr>
      <w:rPr>
        <w:rFonts w:hint="eastAsia" w:ascii="黑体" w:hAnsi="Times New Roman" w:eastAsia="黑体"/>
        <w:sz w:val="21"/>
        <w:u w:val="none"/>
      </w:rPr>
    </w:lvl>
    <w:lvl w:ilvl="1" w:tentative="0">
      <w:start w:val="1"/>
      <w:numFmt w:val="lowerLetter"/>
      <w:lvlText w:val="%2)"/>
      <w:lvlJc w:val="left"/>
      <w:pPr>
        <w:tabs>
          <w:tab w:val="left" w:pos="840"/>
        </w:tabs>
        <w:ind w:left="840" w:hanging="420"/>
      </w:pPr>
      <w:rPr>
        <w:rFonts w:hint="default"/>
        <w:u w:val="none"/>
      </w:rPr>
    </w:lvl>
    <w:lvl w:ilvl="2" w:tentative="0">
      <w:start w:val="1"/>
      <w:numFmt w:val="lowerRoman"/>
      <w:lvlText w:val="%3."/>
      <w:lvlJc w:val="right"/>
      <w:pPr>
        <w:tabs>
          <w:tab w:val="left" w:pos="1260"/>
        </w:tabs>
        <w:ind w:left="1260" w:hanging="420"/>
      </w:pPr>
      <w:rPr>
        <w:rFonts w:hint="default"/>
        <w:u w:val="none"/>
      </w:rPr>
    </w:lvl>
    <w:lvl w:ilvl="3" w:tentative="0">
      <w:start w:val="1"/>
      <w:numFmt w:val="decimal"/>
      <w:lvlText w:val="%4."/>
      <w:lvlJc w:val="left"/>
      <w:pPr>
        <w:tabs>
          <w:tab w:val="left" w:pos="1680"/>
        </w:tabs>
        <w:ind w:left="1680" w:hanging="420"/>
      </w:pPr>
      <w:rPr>
        <w:rFonts w:hint="default"/>
        <w:u w:val="none"/>
      </w:rPr>
    </w:lvl>
    <w:lvl w:ilvl="4" w:tentative="0">
      <w:start w:val="1"/>
      <w:numFmt w:val="lowerLetter"/>
      <w:lvlText w:val="%5)"/>
      <w:lvlJc w:val="left"/>
      <w:pPr>
        <w:tabs>
          <w:tab w:val="left" w:pos="2100"/>
        </w:tabs>
        <w:ind w:left="2100" w:hanging="420"/>
      </w:pPr>
      <w:rPr>
        <w:rFonts w:hint="default"/>
        <w:u w:val="none"/>
      </w:rPr>
    </w:lvl>
    <w:lvl w:ilvl="5" w:tentative="0">
      <w:start w:val="1"/>
      <w:numFmt w:val="lowerRoman"/>
      <w:lvlText w:val="%6."/>
      <w:lvlJc w:val="right"/>
      <w:pPr>
        <w:tabs>
          <w:tab w:val="left" w:pos="2520"/>
        </w:tabs>
        <w:ind w:left="2520" w:hanging="420"/>
      </w:pPr>
      <w:rPr>
        <w:rFonts w:hint="default"/>
        <w:u w:val="none"/>
      </w:rPr>
    </w:lvl>
    <w:lvl w:ilvl="6" w:tentative="0">
      <w:start w:val="1"/>
      <w:numFmt w:val="decimal"/>
      <w:lvlText w:val="%7."/>
      <w:lvlJc w:val="left"/>
      <w:pPr>
        <w:tabs>
          <w:tab w:val="left" w:pos="2940"/>
        </w:tabs>
        <w:ind w:left="2940" w:hanging="420"/>
      </w:pPr>
      <w:rPr>
        <w:rFonts w:hint="default"/>
        <w:u w:val="none"/>
      </w:rPr>
    </w:lvl>
    <w:lvl w:ilvl="7" w:tentative="0">
      <w:start w:val="1"/>
      <w:numFmt w:val="lowerLetter"/>
      <w:lvlText w:val="%8)"/>
      <w:lvlJc w:val="left"/>
      <w:pPr>
        <w:tabs>
          <w:tab w:val="left" w:pos="3360"/>
        </w:tabs>
        <w:ind w:left="3360" w:hanging="420"/>
      </w:pPr>
      <w:rPr>
        <w:rFonts w:hint="default"/>
        <w:u w:val="none"/>
      </w:rPr>
    </w:lvl>
    <w:lvl w:ilvl="8" w:tentative="0">
      <w:start w:val="1"/>
      <w:numFmt w:val="lowerRoman"/>
      <w:lvlText w:val="%9."/>
      <w:lvlJc w:val="right"/>
      <w:pPr>
        <w:tabs>
          <w:tab w:val="left" w:pos="3780"/>
        </w:tabs>
        <w:ind w:left="3780" w:hanging="420"/>
      </w:pPr>
      <w:rPr>
        <w:rFonts w:hint="default"/>
        <w:u w:val="none"/>
      </w:rPr>
    </w:lvl>
  </w:abstractNum>
  <w:num w:numId="1">
    <w:abstractNumId w:val="0"/>
  </w:num>
  <w:num w:numId="2">
    <w:abstractNumId w:val="3"/>
  </w:num>
  <w:num w:numId="3">
    <w:abstractNumId w:val="5"/>
  </w:num>
  <w:num w:numId="4">
    <w:abstractNumId w:val="4"/>
  </w:num>
  <w:num w:numId="5">
    <w:abstractNumId w:val="6"/>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doNotDisplayPageBoundaries w:val="1"/>
  <w:bordersDoNotSurroundHeader w:val="0"/>
  <w:bordersDoNotSurroundFooter w:val="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nforcement="0"/>
  <w:defaultTabStop w:val="420"/>
  <w:hyphenationZone w:val="360"/>
  <w:drawingGridHorizontalSpacing w:val="300"/>
  <w:drawingGridVerticalSpacing w:val="304"/>
  <w:displayHorizontalDrawingGridEvery w:val="1"/>
  <w:displayVerticalDrawingGridEvery w:val="2"/>
  <w:doNotShadeFormData w:val="1"/>
  <w:characterSpacingControl w:val="doNotCompress"/>
  <w:doNotValidateAgainstSchema/>
  <w:doNotDemarcateInvalidXml/>
  <w:hdrShapeDefaults>
    <o:shapelayout v:ext="edit">
      <o:idmap v:ext="edit" data="2"/>
    </o:shapelayout>
  </w:hdrShapeDefaults>
  <w:footnotePr>
    <w:footnote w:id="34"/>
    <w:footnote w:id="35"/>
  </w:footnotePr>
  <w:endnotePr>
    <w:endnote w:id="0"/>
    <w:endnote w:id="1"/>
  </w:endnotePr>
  <w:compat>
    <w:spaceForUL/>
    <w:doNotLeaveBackslashAlon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xZjUwOThkMjkwNzgyYTg1ZjkyODMwOWRmMzllZTAifQ=="/>
  </w:docVars>
  <w:rsids>
    <w:rsidRoot w:val="00172A27"/>
    <w:rsid w:val="0000096D"/>
    <w:rsid w:val="0000130F"/>
    <w:rsid w:val="00002C1D"/>
    <w:rsid w:val="000032E6"/>
    <w:rsid w:val="00003415"/>
    <w:rsid w:val="00003BC6"/>
    <w:rsid w:val="000047EC"/>
    <w:rsid w:val="00004B9C"/>
    <w:rsid w:val="00005947"/>
    <w:rsid w:val="00005FAC"/>
    <w:rsid w:val="000072C6"/>
    <w:rsid w:val="00007FE1"/>
    <w:rsid w:val="0001024C"/>
    <w:rsid w:val="000107B0"/>
    <w:rsid w:val="0001111D"/>
    <w:rsid w:val="0001165E"/>
    <w:rsid w:val="00012EE6"/>
    <w:rsid w:val="000144DC"/>
    <w:rsid w:val="0001478F"/>
    <w:rsid w:val="00014DE9"/>
    <w:rsid w:val="000155F4"/>
    <w:rsid w:val="000160EA"/>
    <w:rsid w:val="000179BE"/>
    <w:rsid w:val="00017D79"/>
    <w:rsid w:val="000201E3"/>
    <w:rsid w:val="000211D3"/>
    <w:rsid w:val="00021E0D"/>
    <w:rsid w:val="00021FEB"/>
    <w:rsid w:val="00022356"/>
    <w:rsid w:val="00024101"/>
    <w:rsid w:val="00024631"/>
    <w:rsid w:val="000249E5"/>
    <w:rsid w:val="00025C04"/>
    <w:rsid w:val="00026E94"/>
    <w:rsid w:val="00027810"/>
    <w:rsid w:val="00027D7C"/>
    <w:rsid w:val="00030DB4"/>
    <w:rsid w:val="00031C79"/>
    <w:rsid w:val="00031D83"/>
    <w:rsid w:val="0003235F"/>
    <w:rsid w:val="000329A2"/>
    <w:rsid w:val="00034537"/>
    <w:rsid w:val="00034977"/>
    <w:rsid w:val="0003596E"/>
    <w:rsid w:val="00035F93"/>
    <w:rsid w:val="000363AB"/>
    <w:rsid w:val="000372F7"/>
    <w:rsid w:val="00037962"/>
    <w:rsid w:val="00040C11"/>
    <w:rsid w:val="00041152"/>
    <w:rsid w:val="000411E0"/>
    <w:rsid w:val="000414DC"/>
    <w:rsid w:val="000420BE"/>
    <w:rsid w:val="000425A3"/>
    <w:rsid w:val="00042E05"/>
    <w:rsid w:val="00043B4E"/>
    <w:rsid w:val="000466D7"/>
    <w:rsid w:val="00046B99"/>
    <w:rsid w:val="00047267"/>
    <w:rsid w:val="00047C0D"/>
    <w:rsid w:val="00050210"/>
    <w:rsid w:val="0005061B"/>
    <w:rsid w:val="00051498"/>
    <w:rsid w:val="000514E5"/>
    <w:rsid w:val="00052255"/>
    <w:rsid w:val="00053B0D"/>
    <w:rsid w:val="00054B2E"/>
    <w:rsid w:val="000552AE"/>
    <w:rsid w:val="000554FB"/>
    <w:rsid w:val="000555FE"/>
    <w:rsid w:val="00055E40"/>
    <w:rsid w:val="00056288"/>
    <w:rsid w:val="00056EB3"/>
    <w:rsid w:val="00056EF6"/>
    <w:rsid w:val="000572E3"/>
    <w:rsid w:val="000579DF"/>
    <w:rsid w:val="00057B11"/>
    <w:rsid w:val="00057CE7"/>
    <w:rsid w:val="00060786"/>
    <w:rsid w:val="000608E3"/>
    <w:rsid w:val="0006105A"/>
    <w:rsid w:val="00061862"/>
    <w:rsid w:val="00062F25"/>
    <w:rsid w:val="00066E74"/>
    <w:rsid w:val="00067B15"/>
    <w:rsid w:val="00067C6E"/>
    <w:rsid w:val="00070DCF"/>
    <w:rsid w:val="000726D4"/>
    <w:rsid w:val="0007282D"/>
    <w:rsid w:val="00072F89"/>
    <w:rsid w:val="00074566"/>
    <w:rsid w:val="00075BE8"/>
    <w:rsid w:val="00076142"/>
    <w:rsid w:val="00076FDE"/>
    <w:rsid w:val="00077E53"/>
    <w:rsid w:val="00080A08"/>
    <w:rsid w:val="00082B48"/>
    <w:rsid w:val="00083372"/>
    <w:rsid w:val="0008371F"/>
    <w:rsid w:val="00083CBB"/>
    <w:rsid w:val="000845BA"/>
    <w:rsid w:val="00084800"/>
    <w:rsid w:val="000851C9"/>
    <w:rsid w:val="00085595"/>
    <w:rsid w:val="000879A1"/>
    <w:rsid w:val="0009096E"/>
    <w:rsid w:val="0009136C"/>
    <w:rsid w:val="000918C3"/>
    <w:rsid w:val="00091B2F"/>
    <w:rsid w:val="0009321B"/>
    <w:rsid w:val="00096FC1"/>
    <w:rsid w:val="000978DB"/>
    <w:rsid w:val="00097C6E"/>
    <w:rsid w:val="000A078E"/>
    <w:rsid w:val="000A1133"/>
    <w:rsid w:val="000A1240"/>
    <w:rsid w:val="000A1A47"/>
    <w:rsid w:val="000A2267"/>
    <w:rsid w:val="000A2D0A"/>
    <w:rsid w:val="000A43A0"/>
    <w:rsid w:val="000A4F03"/>
    <w:rsid w:val="000A5279"/>
    <w:rsid w:val="000A55E3"/>
    <w:rsid w:val="000A5DE0"/>
    <w:rsid w:val="000A6183"/>
    <w:rsid w:val="000A749E"/>
    <w:rsid w:val="000A7758"/>
    <w:rsid w:val="000B1E56"/>
    <w:rsid w:val="000B2614"/>
    <w:rsid w:val="000B35BE"/>
    <w:rsid w:val="000B3651"/>
    <w:rsid w:val="000B4017"/>
    <w:rsid w:val="000B56F2"/>
    <w:rsid w:val="000B5B29"/>
    <w:rsid w:val="000B6391"/>
    <w:rsid w:val="000B6982"/>
    <w:rsid w:val="000B7983"/>
    <w:rsid w:val="000C04BD"/>
    <w:rsid w:val="000C0D68"/>
    <w:rsid w:val="000C1B04"/>
    <w:rsid w:val="000C1EF1"/>
    <w:rsid w:val="000C35C5"/>
    <w:rsid w:val="000C5161"/>
    <w:rsid w:val="000C60D1"/>
    <w:rsid w:val="000C60DE"/>
    <w:rsid w:val="000C68E4"/>
    <w:rsid w:val="000D2568"/>
    <w:rsid w:val="000D297A"/>
    <w:rsid w:val="000D3117"/>
    <w:rsid w:val="000D3FFB"/>
    <w:rsid w:val="000D43F3"/>
    <w:rsid w:val="000D4A13"/>
    <w:rsid w:val="000D568E"/>
    <w:rsid w:val="000E0DFC"/>
    <w:rsid w:val="000E2434"/>
    <w:rsid w:val="000E3668"/>
    <w:rsid w:val="000E3B53"/>
    <w:rsid w:val="000E415A"/>
    <w:rsid w:val="000E4977"/>
    <w:rsid w:val="000E5910"/>
    <w:rsid w:val="000E5C1C"/>
    <w:rsid w:val="000E78CF"/>
    <w:rsid w:val="000F0389"/>
    <w:rsid w:val="000F052F"/>
    <w:rsid w:val="000F0E48"/>
    <w:rsid w:val="000F194E"/>
    <w:rsid w:val="000F2878"/>
    <w:rsid w:val="000F3ADE"/>
    <w:rsid w:val="000F5B65"/>
    <w:rsid w:val="000F6AD7"/>
    <w:rsid w:val="000F6BB7"/>
    <w:rsid w:val="000F7376"/>
    <w:rsid w:val="000F798A"/>
    <w:rsid w:val="000F7B19"/>
    <w:rsid w:val="001000FE"/>
    <w:rsid w:val="00100F22"/>
    <w:rsid w:val="00101E7C"/>
    <w:rsid w:val="001025EF"/>
    <w:rsid w:val="001028D2"/>
    <w:rsid w:val="001034D8"/>
    <w:rsid w:val="00103607"/>
    <w:rsid w:val="001045D6"/>
    <w:rsid w:val="001059B6"/>
    <w:rsid w:val="00106945"/>
    <w:rsid w:val="00106E2F"/>
    <w:rsid w:val="00107282"/>
    <w:rsid w:val="00107938"/>
    <w:rsid w:val="001079DA"/>
    <w:rsid w:val="0011047F"/>
    <w:rsid w:val="00110819"/>
    <w:rsid w:val="00110C58"/>
    <w:rsid w:val="001117D4"/>
    <w:rsid w:val="00111816"/>
    <w:rsid w:val="00111BF7"/>
    <w:rsid w:val="0011245B"/>
    <w:rsid w:val="0011245C"/>
    <w:rsid w:val="001127FB"/>
    <w:rsid w:val="00112D19"/>
    <w:rsid w:val="0011332C"/>
    <w:rsid w:val="0011351A"/>
    <w:rsid w:val="001140BF"/>
    <w:rsid w:val="00114413"/>
    <w:rsid w:val="0011447B"/>
    <w:rsid w:val="00114782"/>
    <w:rsid w:val="00115740"/>
    <w:rsid w:val="00115EF5"/>
    <w:rsid w:val="001163B3"/>
    <w:rsid w:val="001174FB"/>
    <w:rsid w:val="00117615"/>
    <w:rsid w:val="00117AF9"/>
    <w:rsid w:val="00121C1F"/>
    <w:rsid w:val="00122A5A"/>
    <w:rsid w:val="001241E9"/>
    <w:rsid w:val="001244EB"/>
    <w:rsid w:val="001250E0"/>
    <w:rsid w:val="001259BD"/>
    <w:rsid w:val="00126E12"/>
    <w:rsid w:val="00131329"/>
    <w:rsid w:val="00132996"/>
    <w:rsid w:val="0013324E"/>
    <w:rsid w:val="001347AE"/>
    <w:rsid w:val="00134905"/>
    <w:rsid w:val="00135F22"/>
    <w:rsid w:val="00136769"/>
    <w:rsid w:val="00136D8E"/>
    <w:rsid w:val="00137A4C"/>
    <w:rsid w:val="00140B79"/>
    <w:rsid w:val="0014217B"/>
    <w:rsid w:val="001436B2"/>
    <w:rsid w:val="00143712"/>
    <w:rsid w:val="00143AFB"/>
    <w:rsid w:val="0014426B"/>
    <w:rsid w:val="00144A10"/>
    <w:rsid w:val="00144D68"/>
    <w:rsid w:val="0014555A"/>
    <w:rsid w:val="00146130"/>
    <w:rsid w:val="00146A0C"/>
    <w:rsid w:val="00147365"/>
    <w:rsid w:val="00147772"/>
    <w:rsid w:val="001477AD"/>
    <w:rsid w:val="00150C34"/>
    <w:rsid w:val="00151F6A"/>
    <w:rsid w:val="00152769"/>
    <w:rsid w:val="001536CC"/>
    <w:rsid w:val="00155534"/>
    <w:rsid w:val="0015594C"/>
    <w:rsid w:val="001559DA"/>
    <w:rsid w:val="00156784"/>
    <w:rsid w:val="00156A46"/>
    <w:rsid w:val="00156E8C"/>
    <w:rsid w:val="00156F4A"/>
    <w:rsid w:val="0015780E"/>
    <w:rsid w:val="001614DA"/>
    <w:rsid w:val="00161931"/>
    <w:rsid w:val="00162C18"/>
    <w:rsid w:val="0016361A"/>
    <w:rsid w:val="001647DE"/>
    <w:rsid w:val="0016481F"/>
    <w:rsid w:val="00164841"/>
    <w:rsid w:val="00164CFA"/>
    <w:rsid w:val="00164F72"/>
    <w:rsid w:val="00165469"/>
    <w:rsid w:val="001656CD"/>
    <w:rsid w:val="001667F4"/>
    <w:rsid w:val="0016687B"/>
    <w:rsid w:val="00166CD5"/>
    <w:rsid w:val="0016751B"/>
    <w:rsid w:val="00167765"/>
    <w:rsid w:val="001710E5"/>
    <w:rsid w:val="00171895"/>
    <w:rsid w:val="0017303C"/>
    <w:rsid w:val="00173F4E"/>
    <w:rsid w:val="00174033"/>
    <w:rsid w:val="0017558E"/>
    <w:rsid w:val="00175A22"/>
    <w:rsid w:val="00176640"/>
    <w:rsid w:val="001768FF"/>
    <w:rsid w:val="00176A5B"/>
    <w:rsid w:val="00176F4E"/>
    <w:rsid w:val="00177442"/>
    <w:rsid w:val="00177BE9"/>
    <w:rsid w:val="0018021E"/>
    <w:rsid w:val="00181276"/>
    <w:rsid w:val="001815C1"/>
    <w:rsid w:val="00181706"/>
    <w:rsid w:val="00181F4C"/>
    <w:rsid w:val="00181F64"/>
    <w:rsid w:val="00182190"/>
    <w:rsid w:val="00182B32"/>
    <w:rsid w:val="00182E5E"/>
    <w:rsid w:val="00185E79"/>
    <w:rsid w:val="00186C3E"/>
    <w:rsid w:val="00186E21"/>
    <w:rsid w:val="001876DC"/>
    <w:rsid w:val="001878BC"/>
    <w:rsid w:val="001906B9"/>
    <w:rsid w:val="001907D6"/>
    <w:rsid w:val="001923D6"/>
    <w:rsid w:val="00193887"/>
    <w:rsid w:val="00195A79"/>
    <w:rsid w:val="00195B55"/>
    <w:rsid w:val="00196C87"/>
    <w:rsid w:val="00196EFE"/>
    <w:rsid w:val="001976A9"/>
    <w:rsid w:val="001A09A8"/>
    <w:rsid w:val="001A152F"/>
    <w:rsid w:val="001A24C8"/>
    <w:rsid w:val="001A317B"/>
    <w:rsid w:val="001A3C0C"/>
    <w:rsid w:val="001A5802"/>
    <w:rsid w:val="001A5B98"/>
    <w:rsid w:val="001A5EAE"/>
    <w:rsid w:val="001A630D"/>
    <w:rsid w:val="001A645C"/>
    <w:rsid w:val="001A6A21"/>
    <w:rsid w:val="001A6D81"/>
    <w:rsid w:val="001A6F3F"/>
    <w:rsid w:val="001B0526"/>
    <w:rsid w:val="001B1D83"/>
    <w:rsid w:val="001B2325"/>
    <w:rsid w:val="001B2A7B"/>
    <w:rsid w:val="001B2E27"/>
    <w:rsid w:val="001B37E7"/>
    <w:rsid w:val="001B3DB7"/>
    <w:rsid w:val="001B5C06"/>
    <w:rsid w:val="001B67B4"/>
    <w:rsid w:val="001B69BA"/>
    <w:rsid w:val="001B74CE"/>
    <w:rsid w:val="001B7C8F"/>
    <w:rsid w:val="001C08EC"/>
    <w:rsid w:val="001C1EB5"/>
    <w:rsid w:val="001C22AB"/>
    <w:rsid w:val="001C2352"/>
    <w:rsid w:val="001C2A7B"/>
    <w:rsid w:val="001C359E"/>
    <w:rsid w:val="001C6038"/>
    <w:rsid w:val="001C6D63"/>
    <w:rsid w:val="001C764B"/>
    <w:rsid w:val="001D014E"/>
    <w:rsid w:val="001D1992"/>
    <w:rsid w:val="001D20C4"/>
    <w:rsid w:val="001D33BD"/>
    <w:rsid w:val="001D3ECC"/>
    <w:rsid w:val="001D60F4"/>
    <w:rsid w:val="001D6DE4"/>
    <w:rsid w:val="001E1234"/>
    <w:rsid w:val="001E18D9"/>
    <w:rsid w:val="001E2024"/>
    <w:rsid w:val="001E21E7"/>
    <w:rsid w:val="001E2442"/>
    <w:rsid w:val="001E4E18"/>
    <w:rsid w:val="001E6E02"/>
    <w:rsid w:val="001F19FD"/>
    <w:rsid w:val="001F34B5"/>
    <w:rsid w:val="001F3676"/>
    <w:rsid w:val="001F3F28"/>
    <w:rsid w:val="001F543B"/>
    <w:rsid w:val="001F595B"/>
    <w:rsid w:val="001F5CF5"/>
    <w:rsid w:val="001F6C52"/>
    <w:rsid w:val="001F7F9B"/>
    <w:rsid w:val="00200D22"/>
    <w:rsid w:val="00202217"/>
    <w:rsid w:val="002027A3"/>
    <w:rsid w:val="00202E39"/>
    <w:rsid w:val="00202EAE"/>
    <w:rsid w:val="00203852"/>
    <w:rsid w:val="00203DEB"/>
    <w:rsid w:val="00204503"/>
    <w:rsid w:val="00204A31"/>
    <w:rsid w:val="002054BB"/>
    <w:rsid w:val="00206FDB"/>
    <w:rsid w:val="00207BEA"/>
    <w:rsid w:val="00212BB5"/>
    <w:rsid w:val="00212CBD"/>
    <w:rsid w:val="002131CE"/>
    <w:rsid w:val="002131D5"/>
    <w:rsid w:val="00213EC8"/>
    <w:rsid w:val="002149D9"/>
    <w:rsid w:val="002153E9"/>
    <w:rsid w:val="00215AFC"/>
    <w:rsid w:val="00216EAA"/>
    <w:rsid w:val="00217B8B"/>
    <w:rsid w:val="002213DB"/>
    <w:rsid w:val="00222019"/>
    <w:rsid w:val="00223B76"/>
    <w:rsid w:val="00223EB7"/>
    <w:rsid w:val="0022407A"/>
    <w:rsid w:val="00224BAB"/>
    <w:rsid w:val="002253AF"/>
    <w:rsid w:val="00225E9A"/>
    <w:rsid w:val="00230744"/>
    <w:rsid w:val="0023116B"/>
    <w:rsid w:val="00231988"/>
    <w:rsid w:val="00232141"/>
    <w:rsid w:val="00232EC1"/>
    <w:rsid w:val="00233C5E"/>
    <w:rsid w:val="00234F62"/>
    <w:rsid w:val="002351D2"/>
    <w:rsid w:val="002355E1"/>
    <w:rsid w:val="00235ADF"/>
    <w:rsid w:val="00235E96"/>
    <w:rsid w:val="00236347"/>
    <w:rsid w:val="00236436"/>
    <w:rsid w:val="00236A85"/>
    <w:rsid w:val="00237256"/>
    <w:rsid w:val="00237524"/>
    <w:rsid w:val="00240AA9"/>
    <w:rsid w:val="00241748"/>
    <w:rsid w:val="00242148"/>
    <w:rsid w:val="002427F5"/>
    <w:rsid w:val="0024304E"/>
    <w:rsid w:val="00247D5D"/>
    <w:rsid w:val="00250021"/>
    <w:rsid w:val="00250B9B"/>
    <w:rsid w:val="002512EA"/>
    <w:rsid w:val="00251FC5"/>
    <w:rsid w:val="00252563"/>
    <w:rsid w:val="00252758"/>
    <w:rsid w:val="00255127"/>
    <w:rsid w:val="00255465"/>
    <w:rsid w:val="0025611E"/>
    <w:rsid w:val="00256980"/>
    <w:rsid w:val="00256C69"/>
    <w:rsid w:val="00256C75"/>
    <w:rsid w:val="002573CC"/>
    <w:rsid w:val="00260D8E"/>
    <w:rsid w:val="00260E9A"/>
    <w:rsid w:val="002613C7"/>
    <w:rsid w:val="0026235E"/>
    <w:rsid w:val="00262985"/>
    <w:rsid w:val="0026341D"/>
    <w:rsid w:val="0026413F"/>
    <w:rsid w:val="00264258"/>
    <w:rsid w:val="00265158"/>
    <w:rsid w:val="002651EE"/>
    <w:rsid w:val="0026569F"/>
    <w:rsid w:val="00266386"/>
    <w:rsid w:val="002663B4"/>
    <w:rsid w:val="0026693B"/>
    <w:rsid w:val="00267D24"/>
    <w:rsid w:val="0027084E"/>
    <w:rsid w:val="00273BE1"/>
    <w:rsid w:val="00274610"/>
    <w:rsid w:val="00274AEF"/>
    <w:rsid w:val="0027571B"/>
    <w:rsid w:val="00275A72"/>
    <w:rsid w:val="00275F89"/>
    <w:rsid w:val="002805B3"/>
    <w:rsid w:val="002818B7"/>
    <w:rsid w:val="00282662"/>
    <w:rsid w:val="00282CC4"/>
    <w:rsid w:val="00282EFA"/>
    <w:rsid w:val="002833AE"/>
    <w:rsid w:val="002838F8"/>
    <w:rsid w:val="00284352"/>
    <w:rsid w:val="00284A41"/>
    <w:rsid w:val="00285536"/>
    <w:rsid w:val="002862DC"/>
    <w:rsid w:val="00287372"/>
    <w:rsid w:val="00287EC9"/>
    <w:rsid w:val="002922C8"/>
    <w:rsid w:val="00293CDB"/>
    <w:rsid w:val="00294A27"/>
    <w:rsid w:val="00295DA2"/>
    <w:rsid w:val="002967B3"/>
    <w:rsid w:val="0029681A"/>
    <w:rsid w:val="0029686B"/>
    <w:rsid w:val="00296A2A"/>
    <w:rsid w:val="00296B5A"/>
    <w:rsid w:val="002973B6"/>
    <w:rsid w:val="00297ADA"/>
    <w:rsid w:val="00297B2A"/>
    <w:rsid w:val="002A05B9"/>
    <w:rsid w:val="002A2A55"/>
    <w:rsid w:val="002A359A"/>
    <w:rsid w:val="002A49A0"/>
    <w:rsid w:val="002A5A41"/>
    <w:rsid w:val="002A5CCC"/>
    <w:rsid w:val="002B08DF"/>
    <w:rsid w:val="002B0EE0"/>
    <w:rsid w:val="002B0F42"/>
    <w:rsid w:val="002B1110"/>
    <w:rsid w:val="002B2E9E"/>
    <w:rsid w:val="002B3130"/>
    <w:rsid w:val="002B38D6"/>
    <w:rsid w:val="002B3B9C"/>
    <w:rsid w:val="002B4F76"/>
    <w:rsid w:val="002B5152"/>
    <w:rsid w:val="002B7AC9"/>
    <w:rsid w:val="002C00AE"/>
    <w:rsid w:val="002C0798"/>
    <w:rsid w:val="002C147B"/>
    <w:rsid w:val="002C16A7"/>
    <w:rsid w:val="002C19F4"/>
    <w:rsid w:val="002C2320"/>
    <w:rsid w:val="002C23D1"/>
    <w:rsid w:val="002C2AF7"/>
    <w:rsid w:val="002C2CA9"/>
    <w:rsid w:val="002C3565"/>
    <w:rsid w:val="002C3A1F"/>
    <w:rsid w:val="002C3DEE"/>
    <w:rsid w:val="002C4040"/>
    <w:rsid w:val="002C5F9B"/>
    <w:rsid w:val="002C6877"/>
    <w:rsid w:val="002C7288"/>
    <w:rsid w:val="002C7DDC"/>
    <w:rsid w:val="002D04BA"/>
    <w:rsid w:val="002D1B76"/>
    <w:rsid w:val="002D2D55"/>
    <w:rsid w:val="002D3C96"/>
    <w:rsid w:val="002D3CCB"/>
    <w:rsid w:val="002D423A"/>
    <w:rsid w:val="002D458F"/>
    <w:rsid w:val="002D5E53"/>
    <w:rsid w:val="002D5E9C"/>
    <w:rsid w:val="002D6A98"/>
    <w:rsid w:val="002D6F85"/>
    <w:rsid w:val="002D7146"/>
    <w:rsid w:val="002D72F6"/>
    <w:rsid w:val="002D75FE"/>
    <w:rsid w:val="002D783F"/>
    <w:rsid w:val="002D79E2"/>
    <w:rsid w:val="002E0DCE"/>
    <w:rsid w:val="002E2382"/>
    <w:rsid w:val="002E2ABF"/>
    <w:rsid w:val="002E413A"/>
    <w:rsid w:val="002E572A"/>
    <w:rsid w:val="002E5CD0"/>
    <w:rsid w:val="002E5DB0"/>
    <w:rsid w:val="002E6B0B"/>
    <w:rsid w:val="002E781E"/>
    <w:rsid w:val="002E7A79"/>
    <w:rsid w:val="002F1554"/>
    <w:rsid w:val="002F1E3D"/>
    <w:rsid w:val="002F332B"/>
    <w:rsid w:val="002F38A7"/>
    <w:rsid w:val="002F42A3"/>
    <w:rsid w:val="002F43C4"/>
    <w:rsid w:val="002F43FB"/>
    <w:rsid w:val="002F4AC3"/>
    <w:rsid w:val="002F5831"/>
    <w:rsid w:val="002F5D0D"/>
    <w:rsid w:val="002F5E5F"/>
    <w:rsid w:val="002F6192"/>
    <w:rsid w:val="002F6D49"/>
    <w:rsid w:val="002F77BE"/>
    <w:rsid w:val="003002C4"/>
    <w:rsid w:val="0030081F"/>
    <w:rsid w:val="00300B47"/>
    <w:rsid w:val="003020FC"/>
    <w:rsid w:val="003023C8"/>
    <w:rsid w:val="00302F04"/>
    <w:rsid w:val="003032DC"/>
    <w:rsid w:val="0030451A"/>
    <w:rsid w:val="00304AE2"/>
    <w:rsid w:val="00304D03"/>
    <w:rsid w:val="00304F38"/>
    <w:rsid w:val="003056AB"/>
    <w:rsid w:val="00306201"/>
    <w:rsid w:val="00306D81"/>
    <w:rsid w:val="00307467"/>
    <w:rsid w:val="00307743"/>
    <w:rsid w:val="0031214A"/>
    <w:rsid w:val="003124D2"/>
    <w:rsid w:val="00313041"/>
    <w:rsid w:val="003147B8"/>
    <w:rsid w:val="00314D7A"/>
    <w:rsid w:val="00316280"/>
    <w:rsid w:val="003167BB"/>
    <w:rsid w:val="00317AF1"/>
    <w:rsid w:val="003215E3"/>
    <w:rsid w:val="00321961"/>
    <w:rsid w:val="003227C4"/>
    <w:rsid w:val="00322C47"/>
    <w:rsid w:val="00322D57"/>
    <w:rsid w:val="0032487A"/>
    <w:rsid w:val="00324D6F"/>
    <w:rsid w:val="003272A5"/>
    <w:rsid w:val="00330E1C"/>
    <w:rsid w:val="00331559"/>
    <w:rsid w:val="003323C0"/>
    <w:rsid w:val="0033240C"/>
    <w:rsid w:val="00333E92"/>
    <w:rsid w:val="00340590"/>
    <w:rsid w:val="00340A29"/>
    <w:rsid w:val="00340F03"/>
    <w:rsid w:val="0034189A"/>
    <w:rsid w:val="00342C10"/>
    <w:rsid w:val="00343665"/>
    <w:rsid w:val="00343CCA"/>
    <w:rsid w:val="00344306"/>
    <w:rsid w:val="00344D88"/>
    <w:rsid w:val="00344E51"/>
    <w:rsid w:val="00345451"/>
    <w:rsid w:val="00346403"/>
    <w:rsid w:val="003466AA"/>
    <w:rsid w:val="003469E0"/>
    <w:rsid w:val="003473C0"/>
    <w:rsid w:val="003474F2"/>
    <w:rsid w:val="003477E9"/>
    <w:rsid w:val="0035072F"/>
    <w:rsid w:val="003507B4"/>
    <w:rsid w:val="00350A83"/>
    <w:rsid w:val="00351720"/>
    <w:rsid w:val="00351D6A"/>
    <w:rsid w:val="003523D8"/>
    <w:rsid w:val="003524A4"/>
    <w:rsid w:val="003566D4"/>
    <w:rsid w:val="00356E10"/>
    <w:rsid w:val="0035742F"/>
    <w:rsid w:val="00357D06"/>
    <w:rsid w:val="00360D1F"/>
    <w:rsid w:val="00361476"/>
    <w:rsid w:val="00362A58"/>
    <w:rsid w:val="00363853"/>
    <w:rsid w:val="00363B62"/>
    <w:rsid w:val="003659B0"/>
    <w:rsid w:val="00366531"/>
    <w:rsid w:val="003665CD"/>
    <w:rsid w:val="00366D75"/>
    <w:rsid w:val="00370F10"/>
    <w:rsid w:val="00371ABE"/>
    <w:rsid w:val="003722AB"/>
    <w:rsid w:val="00372A10"/>
    <w:rsid w:val="00373034"/>
    <w:rsid w:val="00373FDB"/>
    <w:rsid w:val="003743CA"/>
    <w:rsid w:val="00374BB7"/>
    <w:rsid w:val="00374C2D"/>
    <w:rsid w:val="00374CB4"/>
    <w:rsid w:val="00375BAB"/>
    <w:rsid w:val="003769A8"/>
    <w:rsid w:val="003804F1"/>
    <w:rsid w:val="00381859"/>
    <w:rsid w:val="0038284D"/>
    <w:rsid w:val="00382B18"/>
    <w:rsid w:val="003839B5"/>
    <w:rsid w:val="00384F76"/>
    <w:rsid w:val="0038526F"/>
    <w:rsid w:val="003868E9"/>
    <w:rsid w:val="0038699A"/>
    <w:rsid w:val="003877B3"/>
    <w:rsid w:val="0039003B"/>
    <w:rsid w:val="003900B3"/>
    <w:rsid w:val="003906DD"/>
    <w:rsid w:val="00391768"/>
    <w:rsid w:val="0039188D"/>
    <w:rsid w:val="0039236C"/>
    <w:rsid w:val="00392B8B"/>
    <w:rsid w:val="003937A7"/>
    <w:rsid w:val="0039456B"/>
    <w:rsid w:val="00394C63"/>
    <w:rsid w:val="00394FF1"/>
    <w:rsid w:val="00395530"/>
    <w:rsid w:val="00395A96"/>
    <w:rsid w:val="0039686A"/>
    <w:rsid w:val="003968E2"/>
    <w:rsid w:val="003975B4"/>
    <w:rsid w:val="003A0236"/>
    <w:rsid w:val="003A0810"/>
    <w:rsid w:val="003A24D3"/>
    <w:rsid w:val="003A279A"/>
    <w:rsid w:val="003A2BCE"/>
    <w:rsid w:val="003A32EA"/>
    <w:rsid w:val="003A44A8"/>
    <w:rsid w:val="003A47FA"/>
    <w:rsid w:val="003A4AC9"/>
    <w:rsid w:val="003A5512"/>
    <w:rsid w:val="003A56B0"/>
    <w:rsid w:val="003A7287"/>
    <w:rsid w:val="003A7CE8"/>
    <w:rsid w:val="003B0080"/>
    <w:rsid w:val="003B039F"/>
    <w:rsid w:val="003B0654"/>
    <w:rsid w:val="003B06CF"/>
    <w:rsid w:val="003B1B10"/>
    <w:rsid w:val="003B1D8D"/>
    <w:rsid w:val="003B29D0"/>
    <w:rsid w:val="003B366B"/>
    <w:rsid w:val="003B3678"/>
    <w:rsid w:val="003B38CD"/>
    <w:rsid w:val="003B422A"/>
    <w:rsid w:val="003B426E"/>
    <w:rsid w:val="003B4783"/>
    <w:rsid w:val="003B4B83"/>
    <w:rsid w:val="003B4D75"/>
    <w:rsid w:val="003B7474"/>
    <w:rsid w:val="003B7FAD"/>
    <w:rsid w:val="003C1376"/>
    <w:rsid w:val="003C306D"/>
    <w:rsid w:val="003C31F6"/>
    <w:rsid w:val="003C3211"/>
    <w:rsid w:val="003C4326"/>
    <w:rsid w:val="003C4590"/>
    <w:rsid w:val="003C508C"/>
    <w:rsid w:val="003C51EA"/>
    <w:rsid w:val="003C54E3"/>
    <w:rsid w:val="003C577A"/>
    <w:rsid w:val="003C6346"/>
    <w:rsid w:val="003C6B98"/>
    <w:rsid w:val="003C7B9A"/>
    <w:rsid w:val="003D0B72"/>
    <w:rsid w:val="003D17FF"/>
    <w:rsid w:val="003D228B"/>
    <w:rsid w:val="003D23E9"/>
    <w:rsid w:val="003D2E7D"/>
    <w:rsid w:val="003D2FB4"/>
    <w:rsid w:val="003D4074"/>
    <w:rsid w:val="003D4363"/>
    <w:rsid w:val="003D4871"/>
    <w:rsid w:val="003D5B29"/>
    <w:rsid w:val="003D5C8A"/>
    <w:rsid w:val="003D6EC9"/>
    <w:rsid w:val="003D6FD8"/>
    <w:rsid w:val="003D7374"/>
    <w:rsid w:val="003D7A6D"/>
    <w:rsid w:val="003D7D52"/>
    <w:rsid w:val="003E0D21"/>
    <w:rsid w:val="003E1BE1"/>
    <w:rsid w:val="003E25E1"/>
    <w:rsid w:val="003E3455"/>
    <w:rsid w:val="003E4743"/>
    <w:rsid w:val="003E540E"/>
    <w:rsid w:val="003E5568"/>
    <w:rsid w:val="003E5CA5"/>
    <w:rsid w:val="003E681C"/>
    <w:rsid w:val="003E6914"/>
    <w:rsid w:val="003E7393"/>
    <w:rsid w:val="003F0A7A"/>
    <w:rsid w:val="003F1143"/>
    <w:rsid w:val="003F14B3"/>
    <w:rsid w:val="003F248D"/>
    <w:rsid w:val="003F38B0"/>
    <w:rsid w:val="003F3D53"/>
    <w:rsid w:val="003F3F6B"/>
    <w:rsid w:val="003F4690"/>
    <w:rsid w:val="003F49F5"/>
    <w:rsid w:val="003F4A38"/>
    <w:rsid w:val="003F4F9E"/>
    <w:rsid w:val="003F5000"/>
    <w:rsid w:val="003F7472"/>
    <w:rsid w:val="004001A9"/>
    <w:rsid w:val="0040053C"/>
    <w:rsid w:val="00400B99"/>
    <w:rsid w:val="00401AFC"/>
    <w:rsid w:val="00402646"/>
    <w:rsid w:val="00402F6F"/>
    <w:rsid w:val="004038C2"/>
    <w:rsid w:val="00403BA5"/>
    <w:rsid w:val="00403E0C"/>
    <w:rsid w:val="00404919"/>
    <w:rsid w:val="00404D42"/>
    <w:rsid w:val="00404E00"/>
    <w:rsid w:val="0040509C"/>
    <w:rsid w:val="004053E5"/>
    <w:rsid w:val="00406550"/>
    <w:rsid w:val="004069F1"/>
    <w:rsid w:val="00406B6D"/>
    <w:rsid w:val="00407369"/>
    <w:rsid w:val="00410183"/>
    <w:rsid w:val="004108C7"/>
    <w:rsid w:val="00410AF2"/>
    <w:rsid w:val="0041137D"/>
    <w:rsid w:val="004117B2"/>
    <w:rsid w:val="00412002"/>
    <w:rsid w:val="00412353"/>
    <w:rsid w:val="0041301B"/>
    <w:rsid w:val="00413158"/>
    <w:rsid w:val="00414380"/>
    <w:rsid w:val="00414A53"/>
    <w:rsid w:val="004150FE"/>
    <w:rsid w:val="00415D78"/>
    <w:rsid w:val="00417033"/>
    <w:rsid w:val="00417688"/>
    <w:rsid w:val="004177BB"/>
    <w:rsid w:val="00417D87"/>
    <w:rsid w:val="004201FA"/>
    <w:rsid w:val="004217ED"/>
    <w:rsid w:val="004220AB"/>
    <w:rsid w:val="00422DE5"/>
    <w:rsid w:val="0042309F"/>
    <w:rsid w:val="0042462C"/>
    <w:rsid w:val="00425B46"/>
    <w:rsid w:val="00425DED"/>
    <w:rsid w:val="0042653E"/>
    <w:rsid w:val="00426A00"/>
    <w:rsid w:val="00427763"/>
    <w:rsid w:val="00427C6A"/>
    <w:rsid w:val="00427EE9"/>
    <w:rsid w:val="00427F24"/>
    <w:rsid w:val="00432574"/>
    <w:rsid w:val="00433042"/>
    <w:rsid w:val="0043308F"/>
    <w:rsid w:val="00433938"/>
    <w:rsid w:val="00433FA3"/>
    <w:rsid w:val="0043490A"/>
    <w:rsid w:val="00435208"/>
    <w:rsid w:val="004352A8"/>
    <w:rsid w:val="0043586B"/>
    <w:rsid w:val="00435F28"/>
    <w:rsid w:val="00436270"/>
    <w:rsid w:val="00436F12"/>
    <w:rsid w:val="004370FD"/>
    <w:rsid w:val="0043723C"/>
    <w:rsid w:val="00441C26"/>
    <w:rsid w:val="00441EC7"/>
    <w:rsid w:val="0044242A"/>
    <w:rsid w:val="0044255C"/>
    <w:rsid w:val="0044283B"/>
    <w:rsid w:val="00443817"/>
    <w:rsid w:val="004455E0"/>
    <w:rsid w:val="00445DFA"/>
    <w:rsid w:val="004478A7"/>
    <w:rsid w:val="00450151"/>
    <w:rsid w:val="0045117F"/>
    <w:rsid w:val="00451277"/>
    <w:rsid w:val="004523BC"/>
    <w:rsid w:val="00452952"/>
    <w:rsid w:val="00452B09"/>
    <w:rsid w:val="0045373D"/>
    <w:rsid w:val="00453C08"/>
    <w:rsid w:val="00454275"/>
    <w:rsid w:val="0045471A"/>
    <w:rsid w:val="00455206"/>
    <w:rsid w:val="0045536E"/>
    <w:rsid w:val="004556A2"/>
    <w:rsid w:val="004557A8"/>
    <w:rsid w:val="00455D17"/>
    <w:rsid w:val="00456705"/>
    <w:rsid w:val="00457470"/>
    <w:rsid w:val="0045754E"/>
    <w:rsid w:val="004604B7"/>
    <w:rsid w:val="00460BF9"/>
    <w:rsid w:val="00460F98"/>
    <w:rsid w:val="00462449"/>
    <w:rsid w:val="0046312E"/>
    <w:rsid w:val="00466C3A"/>
    <w:rsid w:val="004672DC"/>
    <w:rsid w:val="00467A28"/>
    <w:rsid w:val="004722A1"/>
    <w:rsid w:val="0047363D"/>
    <w:rsid w:val="00474747"/>
    <w:rsid w:val="00474F38"/>
    <w:rsid w:val="004751DD"/>
    <w:rsid w:val="00476C4B"/>
    <w:rsid w:val="00477784"/>
    <w:rsid w:val="0048230A"/>
    <w:rsid w:val="004830E7"/>
    <w:rsid w:val="00484BB5"/>
    <w:rsid w:val="00484E9E"/>
    <w:rsid w:val="004866D9"/>
    <w:rsid w:val="0048692A"/>
    <w:rsid w:val="00487818"/>
    <w:rsid w:val="00487CCB"/>
    <w:rsid w:val="00490325"/>
    <w:rsid w:val="0049184D"/>
    <w:rsid w:val="00492264"/>
    <w:rsid w:val="0049240E"/>
    <w:rsid w:val="004939F6"/>
    <w:rsid w:val="00493BAC"/>
    <w:rsid w:val="00495688"/>
    <w:rsid w:val="0049604E"/>
    <w:rsid w:val="00496CE3"/>
    <w:rsid w:val="00497AD5"/>
    <w:rsid w:val="004A14EC"/>
    <w:rsid w:val="004A1A3D"/>
    <w:rsid w:val="004A308F"/>
    <w:rsid w:val="004A3900"/>
    <w:rsid w:val="004A4252"/>
    <w:rsid w:val="004A45B8"/>
    <w:rsid w:val="004A48D4"/>
    <w:rsid w:val="004A4C20"/>
    <w:rsid w:val="004A506F"/>
    <w:rsid w:val="004A5854"/>
    <w:rsid w:val="004A6583"/>
    <w:rsid w:val="004A7B66"/>
    <w:rsid w:val="004A7CDA"/>
    <w:rsid w:val="004A7DDE"/>
    <w:rsid w:val="004B00E1"/>
    <w:rsid w:val="004B0222"/>
    <w:rsid w:val="004B1D7C"/>
    <w:rsid w:val="004B295F"/>
    <w:rsid w:val="004B32E3"/>
    <w:rsid w:val="004B44D9"/>
    <w:rsid w:val="004B4561"/>
    <w:rsid w:val="004B4D4A"/>
    <w:rsid w:val="004B5A92"/>
    <w:rsid w:val="004B6278"/>
    <w:rsid w:val="004B63AA"/>
    <w:rsid w:val="004B667B"/>
    <w:rsid w:val="004B6FA0"/>
    <w:rsid w:val="004B71D7"/>
    <w:rsid w:val="004B79C4"/>
    <w:rsid w:val="004B7B8F"/>
    <w:rsid w:val="004C1227"/>
    <w:rsid w:val="004C1B78"/>
    <w:rsid w:val="004C29CC"/>
    <w:rsid w:val="004C3CA3"/>
    <w:rsid w:val="004C442E"/>
    <w:rsid w:val="004C476F"/>
    <w:rsid w:val="004C5650"/>
    <w:rsid w:val="004C58F0"/>
    <w:rsid w:val="004C5EA4"/>
    <w:rsid w:val="004C6701"/>
    <w:rsid w:val="004C704C"/>
    <w:rsid w:val="004C760D"/>
    <w:rsid w:val="004C769C"/>
    <w:rsid w:val="004D0AEA"/>
    <w:rsid w:val="004D0C0E"/>
    <w:rsid w:val="004D0DF3"/>
    <w:rsid w:val="004D12A1"/>
    <w:rsid w:val="004D1570"/>
    <w:rsid w:val="004D1636"/>
    <w:rsid w:val="004D1C7A"/>
    <w:rsid w:val="004D2624"/>
    <w:rsid w:val="004D26D9"/>
    <w:rsid w:val="004D278F"/>
    <w:rsid w:val="004D34D4"/>
    <w:rsid w:val="004D43C1"/>
    <w:rsid w:val="004D5E89"/>
    <w:rsid w:val="004D5F4B"/>
    <w:rsid w:val="004D6165"/>
    <w:rsid w:val="004D6D30"/>
    <w:rsid w:val="004D76C7"/>
    <w:rsid w:val="004D7D5B"/>
    <w:rsid w:val="004D7E99"/>
    <w:rsid w:val="004E045C"/>
    <w:rsid w:val="004E04A6"/>
    <w:rsid w:val="004E22D0"/>
    <w:rsid w:val="004E230E"/>
    <w:rsid w:val="004E259E"/>
    <w:rsid w:val="004E31FC"/>
    <w:rsid w:val="004E34F8"/>
    <w:rsid w:val="004E5806"/>
    <w:rsid w:val="004E5E33"/>
    <w:rsid w:val="004E6906"/>
    <w:rsid w:val="004E79AA"/>
    <w:rsid w:val="004F03CC"/>
    <w:rsid w:val="004F13DA"/>
    <w:rsid w:val="004F16AE"/>
    <w:rsid w:val="004F1A57"/>
    <w:rsid w:val="004F1F60"/>
    <w:rsid w:val="004F243A"/>
    <w:rsid w:val="004F26B7"/>
    <w:rsid w:val="004F2814"/>
    <w:rsid w:val="004F35BE"/>
    <w:rsid w:val="004F501F"/>
    <w:rsid w:val="004F594A"/>
    <w:rsid w:val="004F67BB"/>
    <w:rsid w:val="004F74E8"/>
    <w:rsid w:val="004F7E89"/>
    <w:rsid w:val="00500AC8"/>
    <w:rsid w:val="00500D92"/>
    <w:rsid w:val="00501561"/>
    <w:rsid w:val="00501C0F"/>
    <w:rsid w:val="00501CAC"/>
    <w:rsid w:val="00501D14"/>
    <w:rsid w:val="0050303C"/>
    <w:rsid w:val="005036AA"/>
    <w:rsid w:val="00504633"/>
    <w:rsid w:val="0050533F"/>
    <w:rsid w:val="0050614B"/>
    <w:rsid w:val="0050629E"/>
    <w:rsid w:val="00506EAA"/>
    <w:rsid w:val="00506F92"/>
    <w:rsid w:val="0050713B"/>
    <w:rsid w:val="0050789B"/>
    <w:rsid w:val="00507FFD"/>
    <w:rsid w:val="00513073"/>
    <w:rsid w:val="005140DE"/>
    <w:rsid w:val="005142C3"/>
    <w:rsid w:val="005142DC"/>
    <w:rsid w:val="0051430A"/>
    <w:rsid w:val="005147E3"/>
    <w:rsid w:val="00515330"/>
    <w:rsid w:val="005173B2"/>
    <w:rsid w:val="00517F55"/>
    <w:rsid w:val="0052072E"/>
    <w:rsid w:val="00520A06"/>
    <w:rsid w:val="00521877"/>
    <w:rsid w:val="00521F3F"/>
    <w:rsid w:val="0052274D"/>
    <w:rsid w:val="00522C33"/>
    <w:rsid w:val="005239BB"/>
    <w:rsid w:val="00524E83"/>
    <w:rsid w:val="0052519E"/>
    <w:rsid w:val="005268E8"/>
    <w:rsid w:val="00530A89"/>
    <w:rsid w:val="00530B3F"/>
    <w:rsid w:val="0053182B"/>
    <w:rsid w:val="005346BD"/>
    <w:rsid w:val="00534F67"/>
    <w:rsid w:val="005357EA"/>
    <w:rsid w:val="00535BE5"/>
    <w:rsid w:val="0053618C"/>
    <w:rsid w:val="005362D9"/>
    <w:rsid w:val="0053689E"/>
    <w:rsid w:val="0053719D"/>
    <w:rsid w:val="0054011B"/>
    <w:rsid w:val="00540835"/>
    <w:rsid w:val="005412FC"/>
    <w:rsid w:val="005434F0"/>
    <w:rsid w:val="005438CD"/>
    <w:rsid w:val="0054442E"/>
    <w:rsid w:val="0054534C"/>
    <w:rsid w:val="00545AA2"/>
    <w:rsid w:val="00545AD0"/>
    <w:rsid w:val="00545E96"/>
    <w:rsid w:val="00546749"/>
    <w:rsid w:val="0054757F"/>
    <w:rsid w:val="00551C8A"/>
    <w:rsid w:val="00551F08"/>
    <w:rsid w:val="005522B2"/>
    <w:rsid w:val="00552BA4"/>
    <w:rsid w:val="005531F4"/>
    <w:rsid w:val="00553250"/>
    <w:rsid w:val="00553E4E"/>
    <w:rsid w:val="005548F7"/>
    <w:rsid w:val="00555744"/>
    <w:rsid w:val="00555A2B"/>
    <w:rsid w:val="0055623D"/>
    <w:rsid w:val="005565FF"/>
    <w:rsid w:val="00556A43"/>
    <w:rsid w:val="00556FDA"/>
    <w:rsid w:val="00557CDE"/>
    <w:rsid w:val="005601FC"/>
    <w:rsid w:val="0056135B"/>
    <w:rsid w:val="00561CA7"/>
    <w:rsid w:val="00561EDF"/>
    <w:rsid w:val="00561F9E"/>
    <w:rsid w:val="005623FF"/>
    <w:rsid w:val="005631BE"/>
    <w:rsid w:val="0056479F"/>
    <w:rsid w:val="005648AF"/>
    <w:rsid w:val="00564C59"/>
    <w:rsid w:val="0056531C"/>
    <w:rsid w:val="005659CB"/>
    <w:rsid w:val="005662E0"/>
    <w:rsid w:val="00566BDE"/>
    <w:rsid w:val="00567D5A"/>
    <w:rsid w:val="00567DCB"/>
    <w:rsid w:val="005707FF"/>
    <w:rsid w:val="00571C65"/>
    <w:rsid w:val="0057243A"/>
    <w:rsid w:val="0057268C"/>
    <w:rsid w:val="00572F7E"/>
    <w:rsid w:val="005733EE"/>
    <w:rsid w:val="00575A6F"/>
    <w:rsid w:val="00576A07"/>
    <w:rsid w:val="005774E7"/>
    <w:rsid w:val="00580AC7"/>
    <w:rsid w:val="00581563"/>
    <w:rsid w:val="005816AC"/>
    <w:rsid w:val="005816BB"/>
    <w:rsid w:val="00581726"/>
    <w:rsid w:val="00582231"/>
    <w:rsid w:val="00582922"/>
    <w:rsid w:val="00582948"/>
    <w:rsid w:val="00582B2E"/>
    <w:rsid w:val="00582CCE"/>
    <w:rsid w:val="00583013"/>
    <w:rsid w:val="0058458A"/>
    <w:rsid w:val="00584D2A"/>
    <w:rsid w:val="00585347"/>
    <w:rsid w:val="005860A9"/>
    <w:rsid w:val="0058776B"/>
    <w:rsid w:val="005904D0"/>
    <w:rsid w:val="00590B4C"/>
    <w:rsid w:val="0059220D"/>
    <w:rsid w:val="00592384"/>
    <w:rsid w:val="005943F9"/>
    <w:rsid w:val="00595042"/>
    <w:rsid w:val="00595212"/>
    <w:rsid w:val="00595912"/>
    <w:rsid w:val="00595C23"/>
    <w:rsid w:val="005966BD"/>
    <w:rsid w:val="00597643"/>
    <w:rsid w:val="005A15D1"/>
    <w:rsid w:val="005A1667"/>
    <w:rsid w:val="005A36FC"/>
    <w:rsid w:val="005A378B"/>
    <w:rsid w:val="005A4033"/>
    <w:rsid w:val="005A4171"/>
    <w:rsid w:val="005A5223"/>
    <w:rsid w:val="005A66EB"/>
    <w:rsid w:val="005A6D6F"/>
    <w:rsid w:val="005A7242"/>
    <w:rsid w:val="005A792B"/>
    <w:rsid w:val="005A7F28"/>
    <w:rsid w:val="005B2202"/>
    <w:rsid w:val="005B3071"/>
    <w:rsid w:val="005B30E7"/>
    <w:rsid w:val="005B3EDF"/>
    <w:rsid w:val="005B434A"/>
    <w:rsid w:val="005B4627"/>
    <w:rsid w:val="005B4B90"/>
    <w:rsid w:val="005B4E77"/>
    <w:rsid w:val="005B609C"/>
    <w:rsid w:val="005B66A2"/>
    <w:rsid w:val="005B6987"/>
    <w:rsid w:val="005B6CB9"/>
    <w:rsid w:val="005B6DF7"/>
    <w:rsid w:val="005B703C"/>
    <w:rsid w:val="005B7347"/>
    <w:rsid w:val="005B7355"/>
    <w:rsid w:val="005B7625"/>
    <w:rsid w:val="005B7DD7"/>
    <w:rsid w:val="005C026D"/>
    <w:rsid w:val="005C1FED"/>
    <w:rsid w:val="005C2527"/>
    <w:rsid w:val="005C2F34"/>
    <w:rsid w:val="005C3BBE"/>
    <w:rsid w:val="005C3DBB"/>
    <w:rsid w:val="005C3EBE"/>
    <w:rsid w:val="005C520C"/>
    <w:rsid w:val="005C6585"/>
    <w:rsid w:val="005C660A"/>
    <w:rsid w:val="005C66FA"/>
    <w:rsid w:val="005D0050"/>
    <w:rsid w:val="005D0408"/>
    <w:rsid w:val="005D0414"/>
    <w:rsid w:val="005D08FE"/>
    <w:rsid w:val="005D1542"/>
    <w:rsid w:val="005D237E"/>
    <w:rsid w:val="005D3366"/>
    <w:rsid w:val="005D411D"/>
    <w:rsid w:val="005D50C8"/>
    <w:rsid w:val="005D5428"/>
    <w:rsid w:val="005D5891"/>
    <w:rsid w:val="005D5908"/>
    <w:rsid w:val="005E09C3"/>
    <w:rsid w:val="005E0F6E"/>
    <w:rsid w:val="005E11B7"/>
    <w:rsid w:val="005E18CC"/>
    <w:rsid w:val="005E1C20"/>
    <w:rsid w:val="005E1F25"/>
    <w:rsid w:val="005E271F"/>
    <w:rsid w:val="005E3836"/>
    <w:rsid w:val="005E3EB5"/>
    <w:rsid w:val="005E48DC"/>
    <w:rsid w:val="005E4E21"/>
    <w:rsid w:val="005E5364"/>
    <w:rsid w:val="005E55B5"/>
    <w:rsid w:val="005E5787"/>
    <w:rsid w:val="005E5DB2"/>
    <w:rsid w:val="005E67CB"/>
    <w:rsid w:val="005E77A3"/>
    <w:rsid w:val="005E7EF0"/>
    <w:rsid w:val="005F06E7"/>
    <w:rsid w:val="005F1038"/>
    <w:rsid w:val="005F10EE"/>
    <w:rsid w:val="005F23D7"/>
    <w:rsid w:val="005F38EA"/>
    <w:rsid w:val="005F51C6"/>
    <w:rsid w:val="005F5241"/>
    <w:rsid w:val="005F52EE"/>
    <w:rsid w:val="005F5348"/>
    <w:rsid w:val="005F55FC"/>
    <w:rsid w:val="005F56B5"/>
    <w:rsid w:val="005F56E4"/>
    <w:rsid w:val="005F6EF8"/>
    <w:rsid w:val="005F6F99"/>
    <w:rsid w:val="005F7331"/>
    <w:rsid w:val="005F765A"/>
    <w:rsid w:val="00600045"/>
    <w:rsid w:val="0060057E"/>
    <w:rsid w:val="00601B53"/>
    <w:rsid w:val="00602B8A"/>
    <w:rsid w:val="0060416F"/>
    <w:rsid w:val="0060555F"/>
    <w:rsid w:val="00606036"/>
    <w:rsid w:val="00606BDD"/>
    <w:rsid w:val="00606C90"/>
    <w:rsid w:val="00606FAC"/>
    <w:rsid w:val="0061048A"/>
    <w:rsid w:val="00610BB3"/>
    <w:rsid w:val="00611A56"/>
    <w:rsid w:val="00613352"/>
    <w:rsid w:val="00613D1F"/>
    <w:rsid w:val="00614EDC"/>
    <w:rsid w:val="00616B4E"/>
    <w:rsid w:val="00616E1A"/>
    <w:rsid w:val="00620B92"/>
    <w:rsid w:val="00620D87"/>
    <w:rsid w:val="0062404F"/>
    <w:rsid w:val="006240DB"/>
    <w:rsid w:val="00624EDC"/>
    <w:rsid w:val="006260FB"/>
    <w:rsid w:val="006265AE"/>
    <w:rsid w:val="006266C9"/>
    <w:rsid w:val="00626A7F"/>
    <w:rsid w:val="00627D6A"/>
    <w:rsid w:val="00631B7A"/>
    <w:rsid w:val="00631DC3"/>
    <w:rsid w:val="00631E66"/>
    <w:rsid w:val="00631FAC"/>
    <w:rsid w:val="00632DA4"/>
    <w:rsid w:val="00633B32"/>
    <w:rsid w:val="00635318"/>
    <w:rsid w:val="00636840"/>
    <w:rsid w:val="006374F8"/>
    <w:rsid w:val="00637902"/>
    <w:rsid w:val="00637CFE"/>
    <w:rsid w:val="00640BEF"/>
    <w:rsid w:val="00640FEE"/>
    <w:rsid w:val="00641384"/>
    <w:rsid w:val="00643251"/>
    <w:rsid w:val="0064359B"/>
    <w:rsid w:val="006436D1"/>
    <w:rsid w:val="00643B4E"/>
    <w:rsid w:val="0064404F"/>
    <w:rsid w:val="00644152"/>
    <w:rsid w:val="00644380"/>
    <w:rsid w:val="00644C54"/>
    <w:rsid w:val="006462DE"/>
    <w:rsid w:val="00646C3B"/>
    <w:rsid w:val="00646CB3"/>
    <w:rsid w:val="00647E8B"/>
    <w:rsid w:val="00650032"/>
    <w:rsid w:val="00650403"/>
    <w:rsid w:val="00650ABB"/>
    <w:rsid w:val="00650E43"/>
    <w:rsid w:val="0065106E"/>
    <w:rsid w:val="00651970"/>
    <w:rsid w:val="00651E04"/>
    <w:rsid w:val="00651F7C"/>
    <w:rsid w:val="00653E3D"/>
    <w:rsid w:val="00654B51"/>
    <w:rsid w:val="00654DA4"/>
    <w:rsid w:val="006550DA"/>
    <w:rsid w:val="006552F9"/>
    <w:rsid w:val="006555A4"/>
    <w:rsid w:val="00655C00"/>
    <w:rsid w:val="00657B86"/>
    <w:rsid w:val="00660464"/>
    <w:rsid w:val="006609CB"/>
    <w:rsid w:val="00660D47"/>
    <w:rsid w:val="006624B5"/>
    <w:rsid w:val="00663348"/>
    <w:rsid w:val="00663681"/>
    <w:rsid w:val="0066374C"/>
    <w:rsid w:val="0066507B"/>
    <w:rsid w:val="006652B4"/>
    <w:rsid w:val="006654AD"/>
    <w:rsid w:val="00665790"/>
    <w:rsid w:val="00665C7A"/>
    <w:rsid w:val="0066674D"/>
    <w:rsid w:val="00666FF0"/>
    <w:rsid w:val="00667D6A"/>
    <w:rsid w:val="00670C41"/>
    <w:rsid w:val="006710DE"/>
    <w:rsid w:val="00671BD9"/>
    <w:rsid w:val="0067233F"/>
    <w:rsid w:val="0067298A"/>
    <w:rsid w:val="0067299F"/>
    <w:rsid w:val="006737DE"/>
    <w:rsid w:val="006737EB"/>
    <w:rsid w:val="00673E5E"/>
    <w:rsid w:val="00673F4A"/>
    <w:rsid w:val="00673FD4"/>
    <w:rsid w:val="00674C04"/>
    <w:rsid w:val="00676064"/>
    <w:rsid w:val="00676784"/>
    <w:rsid w:val="00676CDA"/>
    <w:rsid w:val="00677F14"/>
    <w:rsid w:val="0068016F"/>
    <w:rsid w:val="00680DBF"/>
    <w:rsid w:val="00680FF0"/>
    <w:rsid w:val="00681588"/>
    <w:rsid w:val="006815E7"/>
    <w:rsid w:val="00683AF6"/>
    <w:rsid w:val="00685252"/>
    <w:rsid w:val="00686A11"/>
    <w:rsid w:val="00687253"/>
    <w:rsid w:val="006872A3"/>
    <w:rsid w:val="0069057D"/>
    <w:rsid w:val="006907CF"/>
    <w:rsid w:val="00691074"/>
    <w:rsid w:val="006914E0"/>
    <w:rsid w:val="006944AA"/>
    <w:rsid w:val="00696327"/>
    <w:rsid w:val="0069713A"/>
    <w:rsid w:val="006978F4"/>
    <w:rsid w:val="00697B8A"/>
    <w:rsid w:val="006A003E"/>
    <w:rsid w:val="006A0209"/>
    <w:rsid w:val="006A0BD1"/>
    <w:rsid w:val="006A0DC9"/>
    <w:rsid w:val="006A24E4"/>
    <w:rsid w:val="006A2554"/>
    <w:rsid w:val="006A28E2"/>
    <w:rsid w:val="006A2C80"/>
    <w:rsid w:val="006A4B7F"/>
    <w:rsid w:val="006A686D"/>
    <w:rsid w:val="006A7558"/>
    <w:rsid w:val="006A75BB"/>
    <w:rsid w:val="006B1DA0"/>
    <w:rsid w:val="006B36D1"/>
    <w:rsid w:val="006B3A7D"/>
    <w:rsid w:val="006B405F"/>
    <w:rsid w:val="006B46D2"/>
    <w:rsid w:val="006B56D2"/>
    <w:rsid w:val="006B5C30"/>
    <w:rsid w:val="006B5F66"/>
    <w:rsid w:val="006C0091"/>
    <w:rsid w:val="006C0ED2"/>
    <w:rsid w:val="006C1CE1"/>
    <w:rsid w:val="006C1D29"/>
    <w:rsid w:val="006C2B3B"/>
    <w:rsid w:val="006C4920"/>
    <w:rsid w:val="006C5496"/>
    <w:rsid w:val="006C5712"/>
    <w:rsid w:val="006C6B17"/>
    <w:rsid w:val="006C7BF3"/>
    <w:rsid w:val="006D036C"/>
    <w:rsid w:val="006D216D"/>
    <w:rsid w:val="006D2872"/>
    <w:rsid w:val="006D29CB"/>
    <w:rsid w:val="006D3511"/>
    <w:rsid w:val="006D459A"/>
    <w:rsid w:val="006D466B"/>
    <w:rsid w:val="006D537C"/>
    <w:rsid w:val="006D5841"/>
    <w:rsid w:val="006D591A"/>
    <w:rsid w:val="006D59FF"/>
    <w:rsid w:val="006E08DC"/>
    <w:rsid w:val="006E23CC"/>
    <w:rsid w:val="006E399C"/>
    <w:rsid w:val="006E4A23"/>
    <w:rsid w:val="006E53D7"/>
    <w:rsid w:val="006E5863"/>
    <w:rsid w:val="006E6A43"/>
    <w:rsid w:val="006E7CB7"/>
    <w:rsid w:val="006F090C"/>
    <w:rsid w:val="006F093A"/>
    <w:rsid w:val="006F0D56"/>
    <w:rsid w:val="006F1751"/>
    <w:rsid w:val="006F314B"/>
    <w:rsid w:val="006F5A13"/>
    <w:rsid w:val="006F5EA3"/>
    <w:rsid w:val="006F6AAB"/>
    <w:rsid w:val="006F6D02"/>
    <w:rsid w:val="006F72B0"/>
    <w:rsid w:val="006F75C2"/>
    <w:rsid w:val="007018CB"/>
    <w:rsid w:val="00701B30"/>
    <w:rsid w:val="00701C4F"/>
    <w:rsid w:val="00703AED"/>
    <w:rsid w:val="00703FB9"/>
    <w:rsid w:val="00704152"/>
    <w:rsid w:val="00704BBD"/>
    <w:rsid w:val="007052DA"/>
    <w:rsid w:val="007057EC"/>
    <w:rsid w:val="00705DED"/>
    <w:rsid w:val="0071029D"/>
    <w:rsid w:val="0071131E"/>
    <w:rsid w:val="007115C6"/>
    <w:rsid w:val="00712AF5"/>
    <w:rsid w:val="00712D23"/>
    <w:rsid w:val="00713682"/>
    <w:rsid w:val="007144F8"/>
    <w:rsid w:val="0071508F"/>
    <w:rsid w:val="00715647"/>
    <w:rsid w:val="00716320"/>
    <w:rsid w:val="00716C25"/>
    <w:rsid w:val="00717B49"/>
    <w:rsid w:val="00720023"/>
    <w:rsid w:val="0072024A"/>
    <w:rsid w:val="007202C4"/>
    <w:rsid w:val="00722E9C"/>
    <w:rsid w:val="007242B7"/>
    <w:rsid w:val="00726690"/>
    <w:rsid w:val="00726EDB"/>
    <w:rsid w:val="00727652"/>
    <w:rsid w:val="0073243F"/>
    <w:rsid w:val="00733595"/>
    <w:rsid w:val="00733C24"/>
    <w:rsid w:val="00734AB3"/>
    <w:rsid w:val="007352F6"/>
    <w:rsid w:val="00735924"/>
    <w:rsid w:val="00736CBF"/>
    <w:rsid w:val="00736E11"/>
    <w:rsid w:val="00737A31"/>
    <w:rsid w:val="00737C91"/>
    <w:rsid w:val="0074145A"/>
    <w:rsid w:val="00741C02"/>
    <w:rsid w:val="00742741"/>
    <w:rsid w:val="007434F4"/>
    <w:rsid w:val="00743518"/>
    <w:rsid w:val="00743BED"/>
    <w:rsid w:val="007447BC"/>
    <w:rsid w:val="00744AC9"/>
    <w:rsid w:val="007460A7"/>
    <w:rsid w:val="0074709E"/>
    <w:rsid w:val="00747631"/>
    <w:rsid w:val="00750065"/>
    <w:rsid w:val="00752014"/>
    <w:rsid w:val="00752023"/>
    <w:rsid w:val="0075278E"/>
    <w:rsid w:val="007531F3"/>
    <w:rsid w:val="00754323"/>
    <w:rsid w:val="00754616"/>
    <w:rsid w:val="007551AF"/>
    <w:rsid w:val="007556B2"/>
    <w:rsid w:val="00757381"/>
    <w:rsid w:val="007606F5"/>
    <w:rsid w:val="00761318"/>
    <w:rsid w:val="00763092"/>
    <w:rsid w:val="0076354B"/>
    <w:rsid w:val="00764F59"/>
    <w:rsid w:val="00765A18"/>
    <w:rsid w:val="0076643A"/>
    <w:rsid w:val="00766C2E"/>
    <w:rsid w:val="00767A62"/>
    <w:rsid w:val="00767C77"/>
    <w:rsid w:val="00767FFA"/>
    <w:rsid w:val="00771E04"/>
    <w:rsid w:val="00773989"/>
    <w:rsid w:val="00775EFA"/>
    <w:rsid w:val="00776B1F"/>
    <w:rsid w:val="0077702B"/>
    <w:rsid w:val="007776C0"/>
    <w:rsid w:val="007800C7"/>
    <w:rsid w:val="00781313"/>
    <w:rsid w:val="0078299D"/>
    <w:rsid w:val="00782C2B"/>
    <w:rsid w:val="007838D2"/>
    <w:rsid w:val="007841FC"/>
    <w:rsid w:val="00784492"/>
    <w:rsid w:val="007854B8"/>
    <w:rsid w:val="00785D68"/>
    <w:rsid w:val="0078609C"/>
    <w:rsid w:val="00787DD1"/>
    <w:rsid w:val="007909F0"/>
    <w:rsid w:val="007927F0"/>
    <w:rsid w:val="00792931"/>
    <w:rsid w:val="00792A97"/>
    <w:rsid w:val="00792CA6"/>
    <w:rsid w:val="00793A93"/>
    <w:rsid w:val="007946E9"/>
    <w:rsid w:val="00795329"/>
    <w:rsid w:val="0079537D"/>
    <w:rsid w:val="00795CE5"/>
    <w:rsid w:val="0079616A"/>
    <w:rsid w:val="00796349"/>
    <w:rsid w:val="0079705D"/>
    <w:rsid w:val="00797658"/>
    <w:rsid w:val="007A1B94"/>
    <w:rsid w:val="007A227E"/>
    <w:rsid w:val="007A28B8"/>
    <w:rsid w:val="007A38FE"/>
    <w:rsid w:val="007A396E"/>
    <w:rsid w:val="007A5B59"/>
    <w:rsid w:val="007A61D1"/>
    <w:rsid w:val="007A63C7"/>
    <w:rsid w:val="007B0013"/>
    <w:rsid w:val="007B005A"/>
    <w:rsid w:val="007B0A30"/>
    <w:rsid w:val="007B12D2"/>
    <w:rsid w:val="007B1F2F"/>
    <w:rsid w:val="007B2FEF"/>
    <w:rsid w:val="007B3255"/>
    <w:rsid w:val="007B325C"/>
    <w:rsid w:val="007B3DCB"/>
    <w:rsid w:val="007B404F"/>
    <w:rsid w:val="007B5660"/>
    <w:rsid w:val="007B5B94"/>
    <w:rsid w:val="007B6312"/>
    <w:rsid w:val="007B64E5"/>
    <w:rsid w:val="007B7625"/>
    <w:rsid w:val="007C0973"/>
    <w:rsid w:val="007C0DE2"/>
    <w:rsid w:val="007C148A"/>
    <w:rsid w:val="007C2585"/>
    <w:rsid w:val="007C4627"/>
    <w:rsid w:val="007C48B7"/>
    <w:rsid w:val="007C4CA6"/>
    <w:rsid w:val="007C6316"/>
    <w:rsid w:val="007C6ADB"/>
    <w:rsid w:val="007C7131"/>
    <w:rsid w:val="007C71EB"/>
    <w:rsid w:val="007C72F2"/>
    <w:rsid w:val="007C73ED"/>
    <w:rsid w:val="007C7CED"/>
    <w:rsid w:val="007D01A6"/>
    <w:rsid w:val="007D0BE2"/>
    <w:rsid w:val="007D3325"/>
    <w:rsid w:val="007D6FA6"/>
    <w:rsid w:val="007D7CC0"/>
    <w:rsid w:val="007E0DB8"/>
    <w:rsid w:val="007E182C"/>
    <w:rsid w:val="007E2968"/>
    <w:rsid w:val="007E2B8D"/>
    <w:rsid w:val="007E3A87"/>
    <w:rsid w:val="007E3D98"/>
    <w:rsid w:val="007E4A47"/>
    <w:rsid w:val="007E4F88"/>
    <w:rsid w:val="007E6752"/>
    <w:rsid w:val="007E699B"/>
    <w:rsid w:val="007E7F7C"/>
    <w:rsid w:val="007F1780"/>
    <w:rsid w:val="007F2274"/>
    <w:rsid w:val="007F31A0"/>
    <w:rsid w:val="007F3688"/>
    <w:rsid w:val="007F372B"/>
    <w:rsid w:val="007F4443"/>
    <w:rsid w:val="007F4C67"/>
    <w:rsid w:val="007F5531"/>
    <w:rsid w:val="007F5EE3"/>
    <w:rsid w:val="007F6894"/>
    <w:rsid w:val="007F68DE"/>
    <w:rsid w:val="007F69AF"/>
    <w:rsid w:val="007F7A21"/>
    <w:rsid w:val="00800120"/>
    <w:rsid w:val="00800834"/>
    <w:rsid w:val="00800945"/>
    <w:rsid w:val="00800EE1"/>
    <w:rsid w:val="008012BE"/>
    <w:rsid w:val="00801625"/>
    <w:rsid w:val="00801D73"/>
    <w:rsid w:val="00803A4A"/>
    <w:rsid w:val="00804416"/>
    <w:rsid w:val="0080567C"/>
    <w:rsid w:val="00805F77"/>
    <w:rsid w:val="00806811"/>
    <w:rsid w:val="0080791A"/>
    <w:rsid w:val="00807F1E"/>
    <w:rsid w:val="00807FA2"/>
    <w:rsid w:val="0081021A"/>
    <w:rsid w:val="00810DCE"/>
    <w:rsid w:val="00810EB3"/>
    <w:rsid w:val="00811852"/>
    <w:rsid w:val="008127B0"/>
    <w:rsid w:val="00813039"/>
    <w:rsid w:val="008138DE"/>
    <w:rsid w:val="00814936"/>
    <w:rsid w:val="00815249"/>
    <w:rsid w:val="00815DB6"/>
    <w:rsid w:val="008165E0"/>
    <w:rsid w:val="00816BF5"/>
    <w:rsid w:val="00816D1F"/>
    <w:rsid w:val="0081724E"/>
    <w:rsid w:val="008220B9"/>
    <w:rsid w:val="00822325"/>
    <w:rsid w:val="00822F26"/>
    <w:rsid w:val="008237E1"/>
    <w:rsid w:val="008248A1"/>
    <w:rsid w:val="0082556B"/>
    <w:rsid w:val="008260CD"/>
    <w:rsid w:val="008271C7"/>
    <w:rsid w:val="00830321"/>
    <w:rsid w:val="0083061E"/>
    <w:rsid w:val="00830659"/>
    <w:rsid w:val="00830EC0"/>
    <w:rsid w:val="00832F5E"/>
    <w:rsid w:val="008331B8"/>
    <w:rsid w:val="00834A2A"/>
    <w:rsid w:val="00835327"/>
    <w:rsid w:val="008355F3"/>
    <w:rsid w:val="00835618"/>
    <w:rsid w:val="008363E9"/>
    <w:rsid w:val="00836A32"/>
    <w:rsid w:val="00836C3B"/>
    <w:rsid w:val="0083778C"/>
    <w:rsid w:val="0084276B"/>
    <w:rsid w:val="00842E40"/>
    <w:rsid w:val="00845934"/>
    <w:rsid w:val="008460AD"/>
    <w:rsid w:val="008461FC"/>
    <w:rsid w:val="008471D8"/>
    <w:rsid w:val="008503A3"/>
    <w:rsid w:val="00850637"/>
    <w:rsid w:val="00850BAF"/>
    <w:rsid w:val="008510E3"/>
    <w:rsid w:val="00851205"/>
    <w:rsid w:val="00852CE6"/>
    <w:rsid w:val="008538EF"/>
    <w:rsid w:val="0085565F"/>
    <w:rsid w:val="00855B15"/>
    <w:rsid w:val="008560AC"/>
    <w:rsid w:val="008561A1"/>
    <w:rsid w:val="008561F5"/>
    <w:rsid w:val="00856B06"/>
    <w:rsid w:val="00857484"/>
    <w:rsid w:val="0085757D"/>
    <w:rsid w:val="0085785B"/>
    <w:rsid w:val="008579A6"/>
    <w:rsid w:val="00857BC2"/>
    <w:rsid w:val="00857DC9"/>
    <w:rsid w:val="00857EA0"/>
    <w:rsid w:val="00860D4B"/>
    <w:rsid w:val="00860E16"/>
    <w:rsid w:val="008610C2"/>
    <w:rsid w:val="00861CA6"/>
    <w:rsid w:val="0086293C"/>
    <w:rsid w:val="008642E3"/>
    <w:rsid w:val="008646A4"/>
    <w:rsid w:val="008647E4"/>
    <w:rsid w:val="00866288"/>
    <w:rsid w:val="00866A8C"/>
    <w:rsid w:val="00866CD0"/>
    <w:rsid w:val="00866E1B"/>
    <w:rsid w:val="008679C5"/>
    <w:rsid w:val="00870B49"/>
    <w:rsid w:val="008727A3"/>
    <w:rsid w:val="008731D1"/>
    <w:rsid w:val="00873456"/>
    <w:rsid w:val="00874535"/>
    <w:rsid w:val="00874A13"/>
    <w:rsid w:val="00874C40"/>
    <w:rsid w:val="00876231"/>
    <w:rsid w:val="0087741F"/>
    <w:rsid w:val="008778B2"/>
    <w:rsid w:val="00880126"/>
    <w:rsid w:val="00880298"/>
    <w:rsid w:val="008802B0"/>
    <w:rsid w:val="0088080B"/>
    <w:rsid w:val="00881C67"/>
    <w:rsid w:val="008823BA"/>
    <w:rsid w:val="00883ECB"/>
    <w:rsid w:val="008848C3"/>
    <w:rsid w:val="00884BEF"/>
    <w:rsid w:val="00886FBD"/>
    <w:rsid w:val="00890AD0"/>
    <w:rsid w:val="00892D24"/>
    <w:rsid w:val="008937BC"/>
    <w:rsid w:val="00893A8F"/>
    <w:rsid w:val="00894A39"/>
    <w:rsid w:val="008961BD"/>
    <w:rsid w:val="008970D7"/>
    <w:rsid w:val="00897812"/>
    <w:rsid w:val="00897E39"/>
    <w:rsid w:val="008A13ED"/>
    <w:rsid w:val="008A147E"/>
    <w:rsid w:val="008A28A3"/>
    <w:rsid w:val="008A365D"/>
    <w:rsid w:val="008A41EF"/>
    <w:rsid w:val="008A57A8"/>
    <w:rsid w:val="008A68B2"/>
    <w:rsid w:val="008A77A0"/>
    <w:rsid w:val="008B05EE"/>
    <w:rsid w:val="008B36E5"/>
    <w:rsid w:val="008B36EF"/>
    <w:rsid w:val="008B5089"/>
    <w:rsid w:val="008B584C"/>
    <w:rsid w:val="008B5C2F"/>
    <w:rsid w:val="008B5CC8"/>
    <w:rsid w:val="008B65C1"/>
    <w:rsid w:val="008B70D8"/>
    <w:rsid w:val="008B7FBA"/>
    <w:rsid w:val="008C0838"/>
    <w:rsid w:val="008C0A2B"/>
    <w:rsid w:val="008C0D99"/>
    <w:rsid w:val="008C2011"/>
    <w:rsid w:val="008C2662"/>
    <w:rsid w:val="008C26B8"/>
    <w:rsid w:val="008C2B3B"/>
    <w:rsid w:val="008C35F8"/>
    <w:rsid w:val="008C388A"/>
    <w:rsid w:val="008C3A98"/>
    <w:rsid w:val="008C3FBF"/>
    <w:rsid w:val="008C4605"/>
    <w:rsid w:val="008C5B1B"/>
    <w:rsid w:val="008D14E6"/>
    <w:rsid w:val="008D1D9A"/>
    <w:rsid w:val="008D43E9"/>
    <w:rsid w:val="008D47C1"/>
    <w:rsid w:val="008D4BF9"/>
    <w:rsid w:val="008D50AF"/>
    <w:rsid w:val="008D58AD"/>
    <w:rsid w:val="008D596B"/>
    <w:rsid w:val="008D5BEB"/>
    <w:rsid w:val="008D6352"/>
    <w:rsid w:val="008D6A1B"/>
    <w:rsid w:val="008D6A4F"/>
    <w:rsid w:val="008D759C"/>
    <w:rsid w:val="008E0C23"/>
    <w:rsid w:val="008E1AB9"/>
    <w:rsid w:val="008E2794"/>
    <w:rsid w:val="008E2C2D"/>
    <w:rsid w:val="008E3668"/>
    <w:rsid w:val="008E4C9A"/>
    <w:rsid w:val="008E6EFA"/>
    <w:rsid w:val="008E75A0"/>
    <w:rsid w:val="008F0380"/>
    <w:rsid w:val="008F19B5"/>
    <w:rsid w:val="008F1F3E"/>
    <w:rsid w:val="008F2417"/>
    <w:rsid w:val="008F32D5"/>
    <w:rsid w:val="008F3C1C"/>
    <w:rsid w:val="008F3FD9"/>
    <w:rsid w:val="008F4794"/>
    <w:rsid w:val="008F6466"/>
    <w:rsid w:val="008F6524"/>
    <w:rsid w:val="008F70A2"/>
    <w:rsid w:val="008F7647"/>
    <w:rsid w:val="008F7F21"/>
    <w:rsid w:val="00901D6E"/>
    <w:rsid w:val="00902AF0"/>
    <w:rsid w:val="00902C08"/>
    <w:rsid w:val="00903061"/>
    <w:rsid w:val="00903DBB"/>
    <w:rsid w:val="00903EB5"/>
    <w:rsid w:val="00904B61"/>
    <w:rsid w:val="00905273"/>
    <w:rsid w:val="009058EA"/>
    <w:rsid w:val="009113DC"/>
    <w:rsid w:val="00911711"/>
    <w:rsid w:val="009119B5"/>
    <w:rsid w:val="009119D2"/>
    <w:rsid w:val="009123C1"/>
    <w:rsid w:val="009126C2"/>
    <w:rsid w:val="00912F3F"/>
    <w:rsid w:val="00912FC0"/>
    <w:rsid w:val="00913ADC"/>
    <w:rsid w:val="009151FC"/>
    <w:rsid w:val="009158E6"/>
    <w:rsid w:val="00915FEB"/>
    <w:rsid w:val="00917EC9"/>
    <w:rsid w:val="00920478"/>
    <w:rsid w:val="00920508"/>
    <w:rsid w:val="00920CBB"/>
    <w:rsid w:val="009210FA"/>
    <w:rsid w:val="00922436"/>
    <w:rsid w:val="00924D14"/>
    <w:rsid w:val="009250F4"/>
    <w:rsid w:val="009254C0"/>
    <w:rsid w:val="00925A89"/>
    <w:rsid w:val="00926144"/>
    <w:rsid w:val="00926185"/>
    <w:rsid w:val="0092632B"/>
    <w:rsid w:val="00926426"/>
    <w:rsid w:val="00926A12"/>
    <w:rsid w:val="009314DB"/>
    <w:rsid w:val="0093192A"/>
    <w:rsid w:val="00932D87"/>
    <w:rsid w:val="009334C4"/>
    <w:rsid w:val="0093385D"/>
    <w:rsid w:val="0093463E"/>
    <w:rsid w:val="009348E3"/>
    <w:rsid w:val="00934A09"/>
    <w:rsid w:val="00935151"/>
    <w:rsid w:val="009359C1"/>
    <w:rsid w:val="0093663D"/>
    <w:rsid w:val="00937151"/>
    <w:rsid w:val="00937431"/>
    <w:rsid w:val="00937958"/>
    <w:rsid w:val="0094147B"/>
    <w:rsid w:val="00941664"/>
    <w:rsid w:val="009418B7"/>
    <w:rsid w:val="00942090"/>
    <w:rsid w:val="009423B5"/>
    <w:rsid w:val="00943F24"/>
    <w:rsid w:val="00943F8A"/>
    <w:rsid w:val="0094499B"/>
    <w:rsid w:val="009449D8"/>
    <w:rsid w:val="00944AA3"/>
    <w:rsid w:val="00944B55"/>
    <w:rsid w:val="00945027"/>
    <w:rsid w:val="009459D3"/>
    <w:rsid w:val="009473FC"/>
    <w:rsid w:val="009510C3"/>
    <w:rsid w:val="00951335"/>
    <w:rsid w:val="00951451"/>
    <w:rsid w:val="009526EE"/>
    <w:rsid w:val="009535E0"/>
    <w:rsid w:val="00954D00"/>
    <w:rsid w:val="00955535"/>
    <w:rsid w:val="00956AE0"/>
    <w:rsid w:val="00960BF4"/>
    <w:rsid w:val="00962B44"/>
    <w:rsid w:val="009642C4"/>
    <w:rsid w:val="00964632"/>
    <w:rsid w:val="00965034"/>
    <w:rsid w:val="00965290"/>
    <w:rsid w:val="009660B8"/>
    <w:rsid w:val="00966B74"/>
    <w:rsid w:val="00966EA9"/>
    <w:rsid w:val="00967056"/>
    <w:rsid w:val="009672E9"/>
    <w:rsid w:val="00967994"/>
    <w:rsid w:val="00970CD2"/>
    <w:rsid w:val="00971069"/>
    <w:rsid w:val="00971948"/>
    <w:rsid w:val="009722B5"/>
    <w:rsid w:val="0097402B"/>
    <w:rsid w:val="00974304"/>
    <w:rsid w:val="00974925"/>
    <w:rsid w:val="0097545E"/>
    <w:rsid w:val="009760F2"/>
    <w:rsid w:val="009771EF"/>
    <w:rsid w:val="009774EA"/>
    <w:rsid w:val="009776F0"/>
    <w:rsid w:val="00977A9C"/>
    <w:rsid w:val="00977F5D"/>
    <w:rsid w:val="0098174D"/>
    <w:rsid w:val="00982200"/>
    <w:rsid w:val="00982D19"/>
    <w:rsid w:val="00983249"/>
    <w:rsid w:val="00983807"/>
    <w:rsid w:val="00985A41"/>
    <w:rsid w:val="00987DD4"/>
    <w:rsid w:val="00987E09"/>
    <w:rsid w:val="00990BE5"/>
    <w:rsid w:val="00992CCE"/>
    <w:rsid w:val="0099377E"/>
    <w:rsid w:val="00993E39"/>
    <w:rsid w:val="009940B8"/>
    <w:rsid w:val="009943F5"/>
    <w:rsid w:val="009955AE"/>
    <w:rsid w:val="00995615"/>
    <w:rsid w:val="009962FB"/>
    <w:rsid w:val="009964D3"/>
    <w:rsid w:val="00996596"/>
    <w:rsid w:val="00996906"/>
    <w:rsid w:val="009A17CA"/>
    <w:rsid w:val="009A1E78"/>
    <w:rsid w:val="009A1F72"/>
    <w:rsid w:val="009A26D1"/>
    <w:rsid w:val="009A337B"/>
    <w:rsid w:val="009A4031"/>
    <w:rsid w:val="009A4BD8"/>
    <w:rsid w:val="009A53F7"/>
    <w:rsid w:val="009A5713"/>
    <w:rsid w:val="009A5A5E"/>
    <w:rsid w:val="009A5BAA"/>
    <w:rsid w:val="009A5F25"/>
    <w:rsid w:val="009A6722"/>
    <w:rsid w:val="009A7139"/>
    <w:rsid w:val="009A7A06"/>
    <w:rsid w:val="009A7C73"/>
    <w:rsid w:val="009A7EDB"/>
    <w:rsid w:val="009B06C5"/>
    <w:rsid w:val="009B0855"/>
    <w:rsid w:val="009B0C18"/>
    <w:rsid w:val="009B1A8B"/>
    <w:rsid w:val="009B1C92"/>
    <w:rsid w:val="009B2024"/>
    <w:rsid w:val="009B2412"/>
    <w:rsid w:val="009B33FB"/>
    <w:rsid w:val="009B41D3"/>
    <w:rsid w:val="009B487D"/>
    <w:rsid w:val="009B4AA5"/>
    <w:rsid w:val="009B6212"/>
    <w:rsid w:val="009B6371"/>
    <w:rsid w:val="009C0A59"/>
    <w:rsid w:val="009C0DA3"/>
    <w:rsid w:val="009C1096"/>
    <w:rsid w:val="009C1F7A"/>
    <w:rsid w:val="009C3F6F"/>
    <w:rsid w:val="009C58C6"/>
    <w:rsid w:val="009C5D55"/>
    <w:rsid w:val="009C6ADD"/>
    <w:rsid w:val="009C797A"/>
    <w:rsid w:val="009C7E3D"/>
    <w:rsid w:val="009D0458"/>
    <w:rsid w:val="009D0B6E"/>
    <w:rsid w:val="009D175D"/>
    <w:rsid w:val="009D252A"/>
    <w:rsid w:val="009D33AA"/>
    <w:rsid w:val="009D3587"/>
    <w:rsid w:val="009D3DCD"/>
    <w:rsid w:val="009D4377"/>
    <w:rsid w:val="009D4756"/>
    <w:rsid w:val="009D65DE"/>
    <w:rsid w:val="009D6F63"/>
    <w:rsid w:val="009D7116"/>
    <w:rsid w:val="009D7564"/>
    <w:rsid w:val="009E0176"/>
    <w:rsid w:val="009E081C"/>
    <w:rsid w:val="009E097B"/>
    <w:rsid w:val="009E1738"/>
    <w:rsid w:val="009E20CD"/>
    <w:rsid w:val="009E2618"/>
    <w:rsid w:val="009E32B5"/>
    <w:rsid w:val="009E3613"/>
    <w:rsid w:val="009E36A0"/>
    <w:rsid w:val="009E375E"/>
    <w:rsid w:val="009E3939"/>
    <w:rsid w:val="009E4077"/>
    <w:rsid w:val="009E4427"/>
    <w:rsid w:val="009E4777"/>
    <w:rsid w:val="009E48D6"/>
    <w:rsid w:val="009E4EF6"/>
    <w:rsid w:val="009E6B5E"/>
    <w:rsid w:val="009E6F9A"/>
    <w:rsid w:val="009E7A28"/>
    <w:rsid w:val="009F003A"/>
    <w:rsid w:val="009F1D9B"/>
    <w:rsid w:val="009F1E62"/>
    <w:rsid w:val="009F1EDB"/>
    <w:rsid w:val="009F2432"/>
    <w:rsid w:val="009F2E17"/>
    <w:rsid w:val="009F2FF9"/>
    <w:rsid w:val="009F540C"/>
    <w:rsid w:val="009F5BF3"/>
    <w:rsid w:val="009F63DA"/>
    <w:rsid w:val="009F6F42"/>
    <w:rsid w:val="009F7B0D"/>
    <w:rsid w:val="00A042CC"/>
    <w:rsid w:val="00A0498E"/>
    <w:rsid w:val="00A04E2E"/>
    <w:rsid w:val="00A04F50"/>
    <w:rsid w:val="00A06B9F"/>
    <w:rsid w:val="00A074CD"/>
    <w:rsid w:val="00A07D61"/>
    <w:rsid w:val="00A11236"/>
    <w:rsid w:val="00A14BDC"/>
    <w:rsid w:val="00A15AD2"/>
    <w:rsid w:val="00A1634D"/>
    <w:rsid w:val="00A16A1C"/>
    <w:rsid w:val="00A17271"/>
    <w:rsid w:val="00A17F8A"/>
    <w:rsid w:val="00A20E9E"/>
    <w:rsid w:val="00A218EB"/>
    <w:rsid w:val="00A2190B"/>
    <w:rsid w:val="00A21E31"/>
    <w:rsid w:val="00A2221B"/>
    <w:rsid w:val="00A22604"/>
    <w:rsid w:val="00A22BB0"/>
    <w:rsid w:val="00A231AF"/>
    <w:rsid w:val="00A234FA"/>
    <w:rsid w:val="00A23B6E"/>
    <w:rsid w:val="00A250AE"/>
    <w:rsid w:val="00A257C3"/>
    <w:rsid w:val="00A25A98"/>
    <w:rsid w:val="00A279B1"/>
    <w:rsid w:val="00A3013A"/>
    <w:rsid w:val="00A30DEB"/>
    <w:rsid w:val="00A3101E"/>
    <w:rsid w:val="00A31936"/>
    <w:rsid w:val="00A32677"/>
    <w:rsid w:val="00A32948"/>
    <w:rsid w:val="00A35FD4"/>
    <w:rsid w:val="00A3790A"/>
    <w:rsid w:val="00A40A4D"/>
    <w:rsid w:val="00A40A59"/>
    <w:rsid w:val="00A40F2F"/>
    <w:rsid w:val="00A42C28"/>
    <w:rsid w:val="00A44AE1"/>
    <w:rsid w:val="00A46040"/>
    <w:rsid w:val="00A50B47"/>
    <w:rsid w:val="00A51F17"/>
    <w:rsid w:val="00A5207A"/>
    <w:rsid w:val="00A53570"/>
    <w:rsid w:val="00A53C55"/>
    <w:rsid w:val="00A54C68"/>
    <w:rsid w:val="00A553D2"/>
    <w:rsid w:val="00A55459"/>
    <w:rsid w:val="00A56D89"/>
    <w:rsid w:val="00A57462"/>
    <w:rsid w:val="00A579E5"/>
    <w:rsid w:val="00A57DE6"/>
    <w:rsid w:val="00A6126B"/>
    <w:rsid w:val="00A6152F"/>
    <w:rsid w:val="00A61AE5"/>
    <w:rsid w:val="00A65AE4"/>
    <w:rsid w:val="00A65F57"/>
    <w:rsid w:val="00A66720"/>
    <w:rsid w:val="00A677CB"/>
    <w:rsid w:val="00A70A4C"/>
    <w:rsid w:val="00A70DB3"/>
    <w:rsid w:val="00A71139"/>
    <w:rsid w:val="00A71954"/>
    <w:rsid w:val="00A71E34"/>
    <w:rsid w:val="00A7207B"/>
    <w:rsid w:val="00A721ED"/>
    <w:rsid w:val="00A745D3"/>
    <w:rsid w:val="00A752DF"/>
    <w:rsid w:val="00A752E0"/>
    <w:rsid w:val="00A75303"/>
    <w:rsid w:val="00A75FD3"/>
    <w:rsid w:val="00A770D8"/>
    <w:rsid w:val="00A77774"/>
    <w:rsid w:val="00A77F96"/>
    <w:rsid w:val="00A8019F"/>
    <w:rsid w:val="00A80341"/>
    <w:rsid w:val="00A808EF"/>
    <w:rsid w:val="00A81777"/>
    <w:rsid w:val="00A81968"/>
    <w:rsid w:val="00A81A1A"/>
    <w:rsid w:val="00A81A64"/>
    <w:rsid w:val="00A821CE"/>
    <w:rsid w:val="00A82363"/>
    <w:rsid w:val="00A8500A"/>
    <w:rsid w:val="00A851E6"/>
    <w:rsid w:val="00A85AB4"/>
    <w:rsid w:val="00A86D06"/>
    <w:rsid w:val="00A86EE1"/>
    <w:rsid w:val="00A90399"/>
    <w:rsid w:val="00A90AFA"/>
    <w:rsid w:val="00A90DDE"/>
    <w:rsid w:val="00A93CD8"/>
    <w:rsid w:val="00A9437A"/>
    <w:rsid w:val="00A94440"/>
    <w:rsid w:val="00A94464"/>
    <w:rsid w:val="00A944E3"/>
    <w:rsid w:val="00A94F15"/>
    <w:rsid w:val="00A954DB"/>
    <w:rsid w:val="00A97048"/>
    <w:rsid w:val="00A9782D"/>
    <w:rsid w:val="00A97D8C"/>
    <w:rsid w:val="00A97DC8"/>
    <w:rsid w:val="00AA1D23"/>
    <w:rsid w:val="00AA1FAB"/>
    <w:rsid w:val="00AA3826"/>
    <w:rsid w:val="00AA3F7B"/>
    <w:rsid w:val="00AA45A3"/>
    <w:rsid w:val="00AA518A"/>
    <w:rsid w:val="00AA549C"/>
    <w:rsid w:val="00AA67C9"/>
    <w:rsid w:val="00AA6835"/>
    <w:rsid w:val="00AA74AD"/>
    <w:rsid w:val="00AB04B0"/>
    <w:rsid w:val="00AB273F"/>
    <w:rsid w:val="00AB3152"/>
    <w:rsid w:val="00AB553F"/>
    <w:rsid w:val="00AB5746"/>
    <w:rsid w:val="00AB5AA5"/>
    <w:rsid w:val="00AB5B50"/>
    <w:rsid w:val="00AB5D07"/>
    <w:rsid w:val="00AB692C"/>
    <w:rsid w:val="00AB70CF"/>
    <w:rsid w:val="00AB712F"/>
    <w:rsid w:val="00AB7804"/>
    <w:rsid w:val="00AB7E09"/>
    <w:rsid w:val="00AC03C4"/>
    <w:rsid w:val="00AC1E02"/>
    <w:rsid w:val="00AC28F0"/>
    <w:rsid w:val="00AC3D87"/>
    <w:rsid w:val="00AC43F3"/>
    <w:rsid w:val="00AC4D2B"/>
    <w:rsid w:val="00AC4DCC"/>
    <w:rsid w:val="00AC59D5"/>
    <w:rsid w:val="00AC5AD5"/>
    <w:rsid w:val="00AC6585"/>
    <w:rsid w:val="00AC6F32"/>
    <w:rsid w:val="00AC71A1"/>
    <w:rsid w:val="00AD0843"/>
    <w:rsid w:val="00AD0866"/>
    <w:rsid w:val="00AD0DCB"/>
    <w:rsid w:val="00AD1E86"/>
    <w:rsid w:val="00AD281F"/>
    <w:rsid w:val="00AD288A"/>
    <w:rsid w:val="00AD318F"/>
    <w:rsid w:val="00AD3447"/>
    <w:rsid w:val="00AD36C4"/>
    <w:rsid w:val="00AD3F4E"/>
    <w:rsid w:val="00AD4199"/>
    <w:rsid w:val="00AD6816"/>
    <w:rsid w:val="00AD7D2C"/>
    <w:rsid w:val="00AE06E3"/>
    <w:rsid w:val="00AE0DCE"/>
    <w:rsid w:val="00AE0FE9"/>
    <w:rsid w:val="00AE2F93"/>
    <w:rsid w:val="00AE4BD1"/>
    <w:rsid w:val="00AE5074"/>
    <w:rsid w:val="00AE51E1"/>
    <w:rsid w:val="00AE6255"/>
    <w:rsid w:val="00AE78A5"/>
    <w:rsid w:val="00AE79AB"/>
    <w:rsid w:val="00AF0F5C"/>
    <w:rsid w:val="00AF134D"/>
    <w:rsid w:val="00AF15EE"/>
    <w:rsid w:val="00AF160A"/>
    <w:rsid w:val="00AF181F"/>
    <w:rsid w:val="00AF264E"/>
    <w:rsid w:val="00AF286F"/>
    <w:rsid w:val="00AF386A"/>
    <w:rsid w:val="00AF3E59"/>
    <w:rsid w:val="00AF4C79"/>
    <w:rsid w:val="00AF4E7D"/>
    <w:rsid w:val="00AF547A"/>
    <w:rsid w:val="00AF76DE"/>
    <w:rsid w:val="00B00C65"/>
    <w:rsid w:val="00B012AB"/>
    <w:rsid w:val="00B016FD"/>
    <w:rsid w:val="00B01F59"/>
    <w:rsid w:val="00B027B7"/>
    <w:rsid w:val="00B027F8"/>
    <w:rsid w:val="00B049E8"/>
    <w:rsid w:val="00B05075"/>
    <w:rsid w:val="00B05E63"/>
    <w:rsid w:val="00B064CB"/>
    <w:rsid w:val="00B06FDF"/>
    <w:rsid w:val="00B0735D"/>
    <w:rsid w:val="00B07C9A"/>
    <w:rsid w:val="00B10AA5"/>
    <w:rsid w:val="00B11A88"/>
    <w:rsid w:val="00B11E84"/>
    <w:rsid w:val="00B12F79"/>
    <w:rsid w:val="00B1304A"/>
    <w:rsid w:val="00B13136"/>
    <w:rsid w:val="00B1318C"/>
    <w:rsid w:val="00B13347"/>
    <w:rsid w:val="00B15904"/>
    <w:rsid w:val="00B1768D"/>
    <w:rsid w:val="00B176DE"/>
    <w:rsid w:val="00B17B77"/>
    <w:rsid w:val="00B17EE3"/>
    <w:rsid w:val="00B20021"/>
    <w:rsid w:val="00B20E3D"/>
    <w:rsid w:val="00B20E72"/>
    <w:rsid w:val="00B22494"/>
    <w:rsid w:val="00B230F0"/>
    <w:rsid w:val="00B231F9"/>
    <w:rsid w:val="00B23B38"/>
    <w:rsid w:val="00B23F01"/>
    <w:rsid w:val="00B25421"/>
    <w:rsid w:val="00B2711E"/>
    <w:rsid w:val="00B305A6"/>
    <w:rsid w:val="00B30B59"/>
    <w:rsid w:val="00B316D0"/>
    <w:rsid w:val="00B31769"/>
    <w:rsid w:val="00B3310F"/>
    <w:rsid w:val="00B34AA8"/>
    <w:rsid w:val="00B35776"/>
    <w:rsid w:val="00B35C2E"/>
    <w:rsid w:val="00B37100"/>
    <w:rsid w:val="00B37343"/>
    <w:rsid w:val="00B40075"/>
    <w:rsid w:val="00B40A4E"/>
    <w:rsid w:val="00B411F7"/>
    <w:rsid w:val="00B416A1"/>
    <w:rsid w:val="00B41851"/>
    <w:rsid w:val="00B419FC"/>
    <w:rsid w:val="00B41C8C"/>
    <w:rsid w:val="00B43363"/>
    <w:rsid w:val="00B4426B"/>
    <w:rsid w:val="00B447F5"/>
    <w:rsid w:val="00B44813"/>
    <w:rsid w:val="00B45114"/>
    <w:rsid w:val="00B453F6"/>
    <w:rsid w:val="00B467C0"/>
    <w:rsid w:val="00B475A8"/>
    <w:rsid w:val="00B477AB"/>
    <w:rsid w:val="00B50053"/>
    <w:rsid w:val="00B51787"/>
    <w:rsid w:val="00B5196F"/>
    <w:rsid w:val="00B52759"/>
    <w:rsid w:val="00B52FB1"/>
    <w:rsid w:val="00B53B17"/>
    <w:rsid w:val="00B53D20"/>
    <w:rsid w:val="00B55765"/>
    <w:rsid w:val="00B55FFE"/>
    <w:rsid w:val="00B6076A"/>
    <w:rsid w:val="00B61D43"/>
    <w:rsid w:val="00B6215A"/>
    <w:rsid w:val="00B624E9"/>
    <w:rsid w:val="00B62622"/>
    <w:rsid w:val="00B62826"/>
    <w:rsid w:val="00B62E3C"/>
    <w:rsid w:val="00B63627"/>
    <w:rsid w:val="00B644D8"/>
    <w:rsid w:val="00B646CD"/>
    <w:rsid w:val="00B65DF7"/>
    <w:rsid w:val="00B67064"/>
    <w:rsid w:val="00B671EE"/>
    <w:rsid w:val="00B67CEF"/>
    <w:rsid w:val="00B7114F"/>
    <w:rsid w:val="00B724EB"/>
    <w:rsid w:val="00B73560"/>
    <w:rsid w:val="00B743C9"/>
    <w:rsid w:val="00B7477F"/>
    <w:rsid w:val="00B751C3"/>
    <w:rsid w:val="00B75660"/>
    <w:rsid w:val="00B756D1"/>
    <w:rsid w:val="00B75B43"/>
    <w:rsid w:val="00B76CB7"/>
    <w:rsid w:val="00B772BF"/>
    <w:rsid w:val="00B77FB7"/>
    <w:rsid w:val="00B80094"/>
    <w:rsid w:val="00B80E1C"/>
    <w:rsid w:val="00B81627"/>
    <w:rsid w:val="00B81D63"/>
    <w:rsid w:val="00B828FE"/>
    <w:rsid w:val="00B83BDF"/>
    <w:rsid w:val="00B848F5"/>
    <w:rsid w:val="00B8518D"/>
    <w:rsid w:val="00B85506"/>
    <w:rsid w:val="00B8587D"/>
    <w:rsid w:val="00B877C7"/>
    <w:rsid w:val="00B90626"/>
    <w:rsid w:val="00B913F0"/>
    <w:rsid w:val="00B9279B"/>
    <w:rsid w:val="00B94079"/>
    <w:rsid w:val="00B940F8"/>
    <w:rsid w:val="00B949DE"/>
    <w:rsid w:val="00B95926"/>
    <w:rsid w:val="00B95B06"/>
    <w:rsid w:val="00B97717"/>
    <w:rsid w:val="00B979A3"/>
    <w:rsid w:val="00BA1983"/>
    <w:rsid w:val="00BA1A77"/>
    <w:rsid w:val="00BA202F"/>
    <w:rsid w:val="00BA322A"/>
    <w:rsid w:val="00BA37BE"/>
    <w:rsid w:val="00BA3BA2"/>
    <w:rsid w:val="00BA410E"/>
    <w:rsid w:val="00BA445A"/>
    <w:rsid w:val="00BA4803"/>
    <w:rsid w:val="00BA4BD1"/>
    <w:rsid w:val="00BA5592"/>
    <w:rsid w:val="00BA60CC"/>
    <w:rsid w:val="00BA7D94"/>
    <w:rsid w:val="00BB0089"/>
    <w:rsid w:val="00BB128C"/>
    <w:rsid w:val="00BB2655"/>
    <w:rsid w:val="00BB3EEE"/>
    <w:rsid w:val="00BB5EDA"/>
    <w:rsid w:val="00BB6E83"/>
    <w:rsid w:val="00BB75FC"/>
    <w:rsid w:val="00BC00F4"/>
    <w:rsid w:val="00BC0281"/>
    <w:rsid w:val="00BC0BB6"/>
    <w:rsid w:val="00BC17D5"/>
    <w:rsid w:val="00BC1C93"/>
    <w:rsid w:val="00BC24BA"/>
    <w:rsid w:val="00BC263C"/>
    <w:rsid w:val="00BC278F"/>
    <w:rsid w:val="00BC28BA"/>
    <w:rsid w:val="00BC2CE7"/>
    <w:rsid w:val="00BC4559"/>
    <w:rsid w:val="00BC4A73"/>
    <w:rsid w:val="00BC5648"/>
    <w:rsid w:val="00BC5E5A"/>
    <w:rsid w:val="00BC5EBF"/>
    <w:rsid w:val="00BC60CD"/>
    <w:rsid w:val="00BC7ACC"/>
    <w:rsid w:val="00BD02DE"/>
    <w:rsid w:val="00BD0A87"/>
    <w:rsid w:val="00BD2583"/>
    <w:rsid w:val="00BD2A90"/>
    <w:rsid w:val="00BD2B32"/>
    <w:rsid w:val="00BD42A8"/>
    <w:rsid w:val="00BD502A"/>
    <w:rsid w:val="00BD5FD9"/>
    <w:rsid w:val="00BD6441"/>
    <w:rsid w:val="00BD6701"/>
    <w:rsid w:val="00BD687F"/>
    <w:rsid w:val="00BE0DF9"/>
    <w:rsid w:val="00BE18EE"/>
    <w:rsid w:val="00BE2052"/>
    <w:rsid w:val="00BE3781"/>
    <w:rsid w:val="00BE3EC0"/>
    <w:rsid w:val="00BE5547"/>
    <w:rsid w:val="00BE5BEC"/>
    <w:rsid w:val="00BE5C44"/>
    <w:rsid w:val="00BE630C"/>
    <w:rsid w:val="00BE6F73"/>
    <w:rsid w:val="00BE7EBF"/>
    <w:rsid w:val="00BF094F"/>
    <w:rsid w:val="00BF29AB"/>
    <w:rsid w:val="00BF2E38"/>
    <w:rsid w:val="00BF307F"/>
    <w:rsid w:val="00BF3A28"/>
    <w:rsid w:val="00BF3C3A"/>
    <w:rsid w:val="00BF55F1"/>
    <w:rsid w:val="00BF5945"/>
    <w:rsid w:val="00BF78E5"/>
    <w:rsid w:val="00BF7FEE"/>
    <w:rsid w:val="00C002C3"/>
    <w:rsid w:val="00C00ED3"/>
    <w:rsid w:val="00C01634"/>
    <w:rsid w:val="00C01B66"/>
    <w:rsid w:val="00C02706"/>
    <w:rsid w:val="00C0271D"/>
    <w:rsid w:val="00C02E4E"/>
    <w:rsid w:val="00C038FB"/>
    <w:rsid w:val="00C03DA2"/>
    <w:rsid w:val="00C05BED"/>
    <w:rsid w:val="00C05EC4"/>
    <w:rsid w:val="00C0722B"/>
    <w:rsid w:val="00C07BB2"/>
    <w:rsid w:val="00C11138"/>
    <w:rsid w:val="00C118A3"/>
    <w:rsid w:val="00C122D9"/>
    <w:rsid w:val="00C12E2C"/>
    <w:rsid w:val="00C16845"/>
    <w:rsid w:val="00C17426"/>
    <w:rsid w:val="00C17995"/>
    <w:rsid w:val="00C17F12"/>
    <w:rsid w:val="00C20DDD"/>
    <w:rsid w:val="00C242D9"/>
    <w:rsid w:val="00C27E0C"/>
    <w:rsid w:val="00C27FBA"/>
    <w:rsid w:val="00C301DF"/>
    <w:rsid w:val="00C315A6"/>
    <w:rsid w:val="00C319FE"/>
    <w:rsid w:val="00C33268"/>
    <w:rsid w:val="00C3361E"/>
    <w:rsid w:val="00C3407A"/>
    <w:rsid w:val="00C34974"/>
    <w:rsid w:val="00C34A55"/>
    <w:rsid w:val="00C34A6D"/>
    <w:rsid w:val="00C37433"/>
    <w:rsid w:val="00C37766"/>
    <w:rsid w:val="00C40228"/>
    <w:rsid w:val="00C40CAC"/>
    <w:rsid w:val="00C40E04"/>
    <w:rsid w:val="00C40F61"/>
    <w:rsid w:val="00C41430"/>
    <w:rsid w:val="00C42C28"/>
    <w:rsid w:val="00C43152"/>
    <w:rsid w:val="00C4392D"/>
    <w:rsid w:val="00C43A7C"/>
    <w:rsid w:val="00C43EFF"/>
    <w:rsid w:val="00C446FD"/>
    <w:rsid w:val="00C44F18"/>
    <w:rsid w:val="00C45104"/>
    <w:rsid w:val="00C45CD6"/>
    <w:rsid w:val="00C45FD8"/>
    <w:rsid w:val="00C463C5"/>
    <w:rsid w:val="00C46D24"/>
    <w:rsid w:val="00C46D97"/>
    <w:rsid w:val="00C47396"/>
    <w:rsid w:val="00C476F8"/>
    <w:rsid w:val="00C47AC2"/>
    <w:rsid w:val="00C52014"/>
    <w:rsid w:val="00C52EA5"/>
    <w:rsid w:val="00C53736"/>
    <w:rsid w:val="00C54F8D"/>
    <w:rsid w:val="00C54FE8"/>
    <w:rsid w:val="00C55634"/>
    <w:rsid w:val="00C55949"/>
    <w:rsid w:val="00C56531"/>
    <w:rsid w:val="00C56702"/>
    <w:rsid w:val="00C56A87"/>
    <w:rsid w:val="00C60068"/>
    <w:rsid w:val="00C6009C"/>
    <w:rsid w:val="00C6054B"/>
    <w:rsid w:val="00C60BE7"/>
    <w:rsid w:val="00C6200B"/>
    <w:rsid w:val="00C627EE"/>
    <w:rsid w:val="00C62C6E"/>
    <w:rsid w:val="00C63063"/>
    <w:rsid w:val="00C630A1"/>
    <w:rsid w:val="00C6428E"/>
    <w:rsid w:val="00C64E4A"/>
    <w:rsid w:val="00C66B98"/>
    <w:rsid w:val="00C7050A"/>
    <w:rsid w:val="00C71D5B"/>
    <w:rsid w:val="00C7245C"/>
    <w:rsid w:val="00C72E65"/>
    <w:rsid w:val="00C73391"/>
    <w:rsid w:val="00C73C54"/>
    <w:rsid w:val="00C73EA3"/>
    <w:rsid w:val="00C753A2"/>
    <w:rsid w:val="00C758DA"/>
    <w:rsid w:val="00C8166A"/>
    <w:rsid w:val="00C81EF5"/>
    <w:rsid w:val="00C82015"/>
    <w:rsid w:val="00C83FAB"/>
    <w:rsid w:val="00C8487D"/>
    <w:rsid w:val="00C84B62"/>
    <w:rsid w:val="00C84F5C"/>
    <w:rsid w:val="00C85696"/>
    <w:rsid w:val="00C85DBD"/>
    <w:rsid w:val="00C865AB"/>
    <w:rsid w:val="00C900BB"/>
    <w:rsid w:val="00C924C4"/>
    <w:rsid w:val="00C93509"/>
    <w:rsid w:val="00C94794"/>
    <w:rsid w:val="00C95CBE"/>
    <w:rsid w:val="00C95CD6"/>
    <w:rsid w:val="00C95F04"/>
    <w:rsid w:val="00C97901"/>
    <w:rsid w:val="00CA03FB"/>
    <w:rsid w:val="00CA0892"/>
    <w:rsid w:val="00CA1210"/>
    <w:rsid w:val="00CA1FFC"/>
    <w:rsid w:val="00CA245C"/>
    <w:rsid w:val="00CA32F1"/>
    <w:rsid w:val="00CA41BC"/>
    <w:rsid w:val="00CA53FD"/>
    <w:rsid w:val="00CA5720"/>
    <w:rsid w:val="00CA597D"/>
    <w:rsid w:val="00CA6A0F"/>
    <w:rsid w:val="00CA799F"/>
    <w:rsid w:val="00CA7CB9"/>
    <w:rsid w:val="00CB032A"/>
    <w:rsid w:val="00CB0A91"/>
    <w:rsid w:val="00CB0BC2"/>
    <w:rsid w:val="00CB0C42"/>
    <w:rsid w:val="00CB176E"/>
    <w:rsid w:val="00CB2AC9"/>
    <w:rsid w:val="00CB2E79"/>
    <w:rsid w:val="00CB3D35"/>
    <w:rsid w:val="00CB43B1"/>
    <w:rsid w:val="00CB43D0"/>
    <w:rsid w:val="00CB5871"/>
    <w:rsid w:val="00CB5B6B"/>
    <w:rsid w:val="00CB5D86"/>
    <w:rsid w:val="00CB66EA"/>
    <w:rsid w:val="00CB7562"/>
    <w:rsid w:val="00CB772F"/>
    <w:rsid w:val="00CC1167"/>
    <w:rsid w:val="00CC366B"/>
    <w:rsid w:val="00CC3B24"/>
    <w:rsid w:val="00CC3C48"/>
    <w:rsid w:val="00CC56F4"/>
    <w:rsid w:val="00CC5AD0"/>
    <w:rsid w:val="00CC6732"/>
    <w:rsid w:val="00CC6D61"/>
    <w:rsid w:val="00CC7242"/>
    <w:rsid w:val="00CC7B9C"/>
    <w:rsid w:val="00CD092F"/>
    <w:rsid w:val="00CD145A"/>
    <w:rsid w:val="00CD2442"/>
    <w:rsid w:val="00CD2B18"/>
    <w:rsid w:val="00CD3403"/>
    <w:rsid w:val="00CD36F3"/>
    <w:rsid w:val="00CD4092"/>
    <w:rsid w:val="00CD416A"/>
    <w:rsid w:val="00CD4741"/>
    <w:rsid w:val="00CD5A57"/>
    <w:rsid w:val="00CD6206"/>
    <w:rsid w:val="00CD699E"/>
    <w:rsid w:val="00CD6DA8"/>
    <w:rsid w:val="00CE013F"/>
    <w:rsid w:val="00CE161B"/>
    <w:rsid w:val="00CE24EB"/>
    <w:rsid w:val="00CE2CF2"/>
    <w:rsid w:val="00CE3BAC"/>
    <w:rsid w:val="00CE3FE4"/>
    <w:rsid w:val="00CE5BCC"/>
    <w:rsid w:val="00CE6131"/>
    <w:rsid w:val="00CE669B"/>
    <w:rsid w:val="00CE77A5"/>
    <w:rsid w:val="00CE7B45"/>
    <w:rsid w:val="00CF1993"/>
    <w:rsid w:val="00CF1E1E"/>
    <w:rsid w:val="00CF30B4"/>
    <w:rsid w:val="00CF3563"/>
    <w:rsid w:val="00CF4259"/>
    <w:rsid w:val="00CF4FB9"/>
    <w:rsid w:val="00CF5897"/>
    <w:rsid w:val="00CF59C0"/>
    <w:rsid w:val="00CF5BC0"/>
    <w:rsid w:val="00CF632E"/>
    <w:rsid w:val="00CF6A4A"/>
    <w:rsid w:val="00CF707A"/>
    <w:rsid w:val="00CF71CE"/>
    <w:rsid w:val="00CF7A2B"/>
    <w:rsid w:val="00D0043A"/>
    <w:rsid w:val="00D00705"/>
    <w:rsid w:val="00D020B9"/>
    <w:rsid w:val="00D025C4"/>
    <w:rsid w:val="00D02760"/>
    <w:rsid w:val="00D02A91"/>
    <w:rsid w:val="00D02E4E"/>
    <w:rsid w:val="00D03633"/>
    <w:rsid w:val="00D036D2"/>
    <w:rsid w:val="00D047F7"/>
    <w:rsid w:val="00D049BB"/>
    <w:rsid w:val="00D04E98"/>
    <w:rsid w:val="00D05D6D"/>
    <w:rsid w:val="00D068C7"/>
    <w:rsid w:val="00D070EB"/>
    <w:rsid w:val="00D073FA"/>
    <w:rsid w:val="00D077FB"/>
    <w:rsid w:val="00D07F1C"/>
    <w:rsid w:val="00D110CE"/>
    <w:rsid w:val="00D11D4F"/>
    <w:rsid w:val="00D1241D"/>
    <w:rsid w:val="00D13208"/>
    <w:rsid w:val="00D135F6"/>
    <w:rsid w:val="00D1453D"/>
    <w:rsid w:val="00D165BB"/>
    <w:rsid w:val="00D167E3"/>
    <w:rsid w:val="00D168C1"/>
    <w:rsid w:val="00D169F6"/>
    <w:rsid w:val="00D16D1D"/>
    <w:rsid w:val="00D1761E"/>
    <w:rsid w:val="00D17849"/>
    <w:rsid w:val="00D2121D"/>
    <w:rsid w:val="00D21B41"/>
    <w:rsid w:val="00D220EC"/>
    <w:rsid w:val="00D22509"/>
    <w:rsid w:val="00D2299F"/>
    <w:rsid w:val="00D22DD0"/>
    <w:rsid w:val="00D23312"/>
    <w:rsid w:val="00D242F8"/>
    <w:rsid w:val="00D247B4"/>
    <w:rsid w:val="00D24992"/>
    <w:rsid w:val="00D24DE7"/>
    <w:rsid w:val="00D24E93"/>
    <w:rsid w:val="00D24FF7"/>
    <w:rsid w:val="00D25B8E"/>
    <w:rsid w:val="00D266E2"/>
    <w:rsid w:val="00D27106"/>
    <w:rsid w:val="00D27776"/>
    <w:rsid w:val="00D27DAD"/>
    <w:rsid w:val="00D27F81"/>
    <w:rsid w:val="00D30AF8"/>
    <w:rsid w:val="00D3178A"/>
    <w:rsid w:val="00D31BC4"/>
    <w:rsid w:val="00D32335"/>
    <w:rsid w:val="00D3399C"/>
    <w:rsid w:val="00D339B0"/>
    <w:rsid w:val="00D35CFB"/>
    <w:rsid w:val="00D36255"/>
    <w:rsid w:val="00D3648A"/>
    <w:rsid w:val="00D369F2"/>
    <w:rsid w:val="00D36BEE"/>
    <w:rsid w:val="00D376A0"/>
    <w:rsid w:val="00D376E4"/>
    <w:rsid w:val="00D378AA"/>
    <w:rsid w:val="00D4060B"/>
    <w:rsid w:val="00D40B93"/>
    <w:rsid w:val="00D42105"/>
    <w:rsid w:val="00D44B41"/>
    <w:rsid w:val="00D44BA4"/>
    <w:rsid w:val="00D45997"/>
    <w:rsid w:val="00D45C59"/>
    <w:rsid w:val="00D46C33"/>
    <w:rsid w:val="00D46F3F"/>
    <w:rsid w:val="00D506C9"/>
    <w:rsid w:val="00D507BB"/>
    <w:rsid w:val="00D51A9D"/>
    <w:rsid w:val="00D51BB8"/>
    <w:rsid w:val="00D52751"/>
    <w:rsid w:val="00D53109"/>
    <w:rsid w:val="00D5397B"/>
    <w:rsid w:val="00D539CC"/>
    <w:rsid w:val="00D54B2D"/>
    <w:rsid w:val="00D56C33"/>
    <w:rsid w:val="00D611B7"/>
    <w:rsid w:val="00D61296"/>
    <w:rsid w:val="00D6148A"/>
    <w:rsid w:val="00D62564"/>
    <w:rsid w:val="00D627CA"/>
    <w:rsid w:val="00D63737"/>
    <w:rsid w:val="00D651E9"/>
    <w:rsid w:val="00D653A0"/>
    <w:rsid w:val="00D65AC2"/>
    <w:rsid w:val="00D65CEB"/>
    <w:rsid w:val="00D661FC"/>
    <w:rsid w:val="00D66805"/>
    <w:rsid w:val="00D66842"/>
    <w:rsid w:val="00D67B7C"/>
    <w:rsid w:val="00D67DC6"/>
    <w:rsid w:val="00D70328"/>
    <w:rsid w:val="00D7221B"/>
    <w:rsid w:val="00D72536"/>
    <w:rsid w:val="00D729F1"/>
    <w:rsid w:val="00D72BA2"/>
    <w:rsid w:val="00D73021"/>
    <w:rsid w:val="00D735EE"/>
    <w:rsid w:val="00D74472"/>
    <w:rsid w:val="00D747B5"/>
    <w:rsid w:val="00D7518A"/>
    <w:rsid w:val="00D75DBE"/>
    <w:rsid w:val="00D768EA"/>
    <w:rsid w:val="00D76AFA"/>
    <w:rsid w:val="00D77079"/>
    <w:rsid w:val="00D7715A"/>
    <w:rsid w:val="00D77F5F"/>
    <w:rsid w:val="00D81E59"/>
    <w:rsid w:val="00D829CE"/>
    <w:rsid w:val="00D82FF7"/>
    <w:rsid w:val="00D835F1"/>
    <w:rsid w:val="00D836A7"/>
    <w:rsid w:val="00D83E57"/>
    <w:rsid w:val="00D840C1"/>
    <w:rsid w:val="00D84A24"/>
    <w:rsid w:val="00D84A72"/>
    <w:rsid w:val="00D85637"/>
    <w:rsid w:val="00D8581C"/>
    <w:rsid w:val="00D86042"/>
    <w:rsid w:val="00D860B0"/>
    <w:rsid w:val="00D863A4"/>
    <w:rsid w:val="00D864C7"/>
    <w:rsid w:val="00D86F71"/>
    <w:rsid w:val="00D901DE"/>
    <w:rsid w:val="00D90226"/>
    <w:rsid w:val="00D90669"/>
    <w:rsid w:val="00D90830"/>
    <w:rsid w:val="00D9112C"/>
    <w:rsid w:val="00D918AD"/>
    <w:rsid w:val="00D9210F"/>
    <w:rsid w:val="00D93AB8"/>
    <w:rsid w:val="00D93FE6"/>
    <w:rsid w:val="00D9644A"/>
    <w:rsid w:val="00D970B4"/>
    <w:rsid w:val="00D97612"/>
    <w:rsid w:val="00D97B80"/>
    <w:rsid w:val="00D97FEA"/>
    <w:rsid w:val="00DA21C9"/>
    <w:rsid w:val="00DA2A8C"/>
    <w:rsid w:val="00DA42DE"/>
    <w:rsid w:val="00DA5FF7"/>
    <w:rsid w:val="00DA6E34"/>
    <w:rsid w:val="00DA772E"/>
    <w:rsid w:val="00DB089C"/>
    <w:rsid w:val="00DB193C"/>
    <w:rsid w:val="00DB2169"/>
    <w:rsid w:val="00DB2DFE"/>
    <w:rsid w:val="00DB2F34"/>
    <w:rsid w:val="00DB3694"/>
    <w:rsid w:val="00DB3D00"/>
    <w:rsid w:val="00DB3FD9"/>
    <w:rsid w:val="00DB4A0B"/>
    <w:rsid w:val="00DB4E27"/>
    <w:rsid w:val="00DB4F47"/>
    <w:rsid w:val="00DB51FB"/>
    <w:rsid w:val="00DB53AD"/>
    <w:rsid w:val="00DB7BED"/>
    <w:rsid w:val="00DB7C94"/>
    <w:rsid w:val="00DB7D12"/>
    <w:rsid w:val="00DC0B55"/>
    <w:rsid w:val="00DC15BD"/>
    <w:rsid w:val="00DC1A3C"/>
    <w:rsid w:val="00DC5B58"/>
    <w:rsid w:val="00DC5BC0"/>
    <w:rsid w:val="00DC721D"/>
    <w:rsid w:val="00DD21AA"/>
    <w:rsid w:val="00DD2419"/>
    <w:rsid w:val="00DD25E1"/>
    <w:rsid w:val="00DD3AE2"/>
    <w:rsid w:val="00DD43C8"/>
    <w:rsid w:val="00DD4781"/>
    <w:rsid w:val="00DD4E45"/>
    <w:rsid w:val="00DD5122"/>
    <w:rsid w:val="00DD6C92"/>
    <w:rsid w:val="00DD7145"/>
    <w:rsid w:val="00DE099E"/>
    <w:rsid w:val="00DE1873"/>
    <w:rsid w:val="00DE23BE"/>
    <w:rsid w:val="00DE2C37"/>
    <w:rsid w:val="00DE2FF0"/>
    <w:rsid w:val="00DE3407"/>
    <w:rsid w:val="00DE5234"/>
    <w:rsid w:val="00DE5FAD"/>
    <w:rsid w:val="00DE6C63"/>
    <w:rsid w:val="00DF0722"/>
    <w:rsid w:val="00DF0A2B"/>
    <w:rsid w:val="00DF2580"/>
    <w:rsid w:val="00DF282E"/>
    <w:rsid w:val="00DF3709"/>
    <w:rsid w:val="00DF37C1"/>
    <w:rsid w:val="00DF4137"/>
    <w:rsid w:val="00DF443E"/>
    <w:rsid w:val="00DF6601"/>
    <w:rsid w:val="00DF750D"/>
    <w:rsid w:val="00E00ABA"/>
    <w:rsid w:val="00E02CC2"/>
    <w:rsid w:val="00E0368C"/>
    <w:rsid w:val="00E038DD"/>
    <w:rsid w:val="00E03BFD"/>
    <w:rsid w:val="00E03C7A"/>
    <w:rsid w:val="00E044E3"/>
    <w:rsid w:val="00E04B70"/>
    <w:rsid w:val="00E04BF8"/>
    <w:rsid w:val="00E05C85"/>
    <w:rsid w:val="00E06035"/>
    <w:rsid w:val="00E070F4"/>
    <w:rsid w:val="00E0716E"/>
    <w:rsid w:val="00E0731E"/>
    <w:rsid w:val="00E07E5C"/>
    <w:rsid w:val="00E10146"/>
    <w:rsid w:val="00E10346"/>
    <w:rsid w:val="00E10B03"/>
    <w:rsid w:val="00E10E10"/>
    <w:rsid w:val="00E110A3"/>
    <w:rsid w:val="00E11CD6"/>
    <w:rsid w:val="00E11DA4"/>
    <w:rsid w:val="00E12203"/>
    <w:rsid w:val="00E1272E"/>
    <w:rsid w:val="00E12E3A"/>
    <w:rsid w:val="00E135CC"/>
    <w:rsid w:val="00E13D09"/>
    <w:rsid w:val="00E149C7"/>
    <w:rsid w:val="00E1610D"/>
    <w:rsid w:val="00E1636D"/>
    <w:rsid w:val="00E16BB1"/>
    <w:rsid w:val="00E17B43"/>
    <w:rsid w:val="00E205A0"/>
    <w:rsid w:val="00E218A9"/>
    <w:rsid w:val="00E218C1"/>
    <w:rsid w:val="00E21A7F"/>
    <w:rsid w:val="00E227BD"/>
    <w:rsid w:val="00E22A37"/>
    <w:rsid w:val="00E230D2"/>
    <w:rsid w:val="00E24AF1"/>
    <w:rsid w:val="00E25ACD"/>
    <w:rsid w:val="00E25CCE"/>
    <w:rsid w:val="00E30703"/>
    <w:rsid w:val="00E30C79"/>
    <w:rsid w:val="00E3113B"/>
    <w:rsid w:val="00E31608"/>
    <w:rsid w:val="00E33653"/>
    <w:rsid w:val="00E34867"/>
    <w:rsid w:val="00E35FBB"/>
    <w:rsid w:val="00E41077"/>
    <w:rsid w:val="00E413B9"/>
    <w:rsid w:val="00E4168C"/>
    <w:rsid w:val="00E41F5D"/>
    <w:rsid w:val="00E421B2"/>
    <w:rsid w:val="00E42998"/>
    <w:rsid w:val="00E43140"/>
    <w:rsid w:val="00E43648"/>
    <w:rsid w:val="00E439A8"/>
    <w:rsid w:val="00E439FA"/>
    <w:rsid w:val="00E441C7"/>
    <w:rsid w:val="00E44B8F"/>
    <w:rsid w:val="00E44F1E"/>
    <w:rsid w:val="00E46A01"/>
    <w:rsid w:val="00E47916"/>
    <w:rsid w:val="00E51F7C"/>
    <w:rsid w:val="00E52A58"/>
    <w:rsid w:val="00E53F5C"/>
    <w:rsid w:val="00E5497A"/>
    <w:rsid w:val="00E5661F"/>
    <w:rsid w:val="00E56803"/>
    <w:rsid w:val="00E56B14"/>
    <w:rsid w:val="00E6038D"/>
    <w:rsid w:val="00E60DD6"/>
    <w:rsid w:val="00E60DF7"/>
    <w:rsid w:val="00E618FF"/>
    <w:rsid w:val="00E62189"/>
    <w:rsid w:val="00E630F7"/>
    <w:rsid w:val="00E634A2"/>
    <w:rsid w:val="00E638D5"/>
    <w:rsid w:val="00E64D8A"/>
    <w:rsid w:val="00E67281"/>
    <w:rsid w:val="00E67C34"/>
    <w:rsid w:val="00E708B6"/>
    <w:rsid w:val="00E725A7"/>
    <w:rsid w:val="00E72B2D"/>
    <w:rsid w:val="00E7403E"/>
    <w:rsid w:val="00E7411D"/>
    <w:rsid w:val="00E75681"/>
    <w:rsid w:val="00E7571D"/>
    <w:rsid w:val="00E75743"/>
    <w:rsid w:val="00E75888"/>
    <w:rsid w:val="00E760F4"/>
    <w:rsid w:val="00E76557"/>
    <w:rsid w:val="00E841FF"/>
    <w:rsid w:val="00E844C7"/>
    <w:rsid w:val="00E84872"/>
    <w:rsid w:val="00E848EE"/>
    <w:rsid w:val="00E866BE"/>
    <w:rsid w:val="00E905EE"/>
    <w:rsid w:val="00E92290"/>
    <w:rsid w:val="00E922C6"/>
    <w:rsid w:val="00E9251F"/>
    <w:rsid w:val="00E92CDA"/>
    <w:rsid w:val="00E92D5C"/>
    <w:rsid w:val="00E93ABF"/>
    <w:rsid w:val="00E942F5"/>
    <w:rsid w:val="00E945E8"/>
    <w:rsid w:val="00E94DD3"/>
    <w:rsid w:val="00E9542B"/>
    <w:rsid w:val="00E95A78"/>
    <w:rsid w:val="00E97141"/>
    <w:rsid w:val="00E9747D"/>
    <w:rsid w:val="00E97843"/>
    <w:rsid w:val="00E9788B"/>
    <w:rsid w:val="00EA00C1"/>
    <w:rsid w:val="00EA0461"/>
    <w:rsid w:val="00EA0922"/>
    <w:rsid w:val="00EA0D17"/>
    <w:rsid w:val="00EA26D5"/>
    <w:rsid w:val="00EA7A25"/>
    <w:rsid w:val="00EB07B2"/>
    <w:rsid w:val="00EB09B8"/>
    <w:rsid w:val="00EB1009"/>
    <w:rsid w:val="00EB1648"/>
    <w:rsid w:val="00EB21D2"/>
    <w:rsid w:val="00EB3A4E"/>
    <w:rsid w:val="00EB6779"/>
    <w:rsid w:val="00EB6A72"/>
    <w:rsid w:val="00EB71F8"/>
    <w:rsid w:val="00EC04E8"/>
    <w:rsid w:val="00EC07AD"/>
    <w:rsid w:val="00EC0D35"/>
    <w:rsid w:val="00EC27B7"/>
    <w:rsid w:val="00EC2EB3"/>
    <w:rsid w:val="00EC3F9B"/>
    <w:rsid w:val="00EC546C"/>
    <w:rsid w:val="00EC5C56"/>
    <w:rsid w:val="00EC6A8A"/>
    <w:rsid w:val="00EC6A9C"/>
    <w:rsid w:val="00EC709F"/>
    <w:rsid w:val="00EC75D2"/>
    <w:rsid w:val="00ED0BC2"/>
    <w:rsid w:val="00ED0EE9"/>
    <w:rsid w:val="00ED1BD4"/>
    <w:rsid w:val="00ED1DE1"/>
    <w:rsid w:val="00ED4570"/>
    <w:rsid w:val="00ED467B"/>
    <w:rsid w:val="00ED5685"/>
    <w:rsid w:val="00ED5AA4"/>
    <w:rsid w:val="00ED68CA"/>
    <w:rsid w:val="00EE02D1"/>
    <w:rsid w:val="00EE03FD"/>
    <w:rsid w:val="00EE307D"/>
    <w:rsid w:val="00EE4120"/>
    <w:rsid w:val="00EE4B6A"/>
    <w:rsid w:val="00EE4D55"/>
    <w:rsid w:val="00EE525B"/>
    <w:rsid w:val="00EE6EB0"/>
    <w:rsid w:val="00EE724F"/>
    <w:rsid w:val="00EE742A"/>
    <w:rsid w:val="00EE755F"/>
    <w:rsid w:val="00EE763F"/>
    <w:rsid w:val="00EE782C"/>
    <w:rsid w:val="00EE7A80"/>
    <w:rsid w:val="00EE7E0D"/>
    <w:rsid w:val="00EF0F40"/>
    <w:rsid w:val="00EF1B2A"/>
    <w:rsid w:val="00EF1B4D"/>
    <w:rsid w:val="00EF1C6B"/>
    <w:rsid w:val="00EF1D49"/>
    <w:rsid w:val="00EF1E1C"/>
    <w:rsid w:val="00EF24ED"/>
    <w:rsid w:val="00EF2B76"/>
    <w:rsid w:val="00EF2FE8"/>
    <w:rsid w:val="00EF3DEA"/>
    <w:rsid w:val="00EF3E84"/>
    <w:rsid w:val="00EF4A7C"/>
    <w:rsid w:val="00EF53FE"/>
    <w:rsid w:val="00EF7294"/>
    <w:rsid w:val="00EF7A4A"/>
    <w:rsid w:val="00EF7B9D"/>
    <w:rsid w:val="00F013C9"/>
    <w:rsid w:val="00F0175B"/>
    <w:rsid w:val="00F01D14"/>
    <w:rsid w:val="00F01F4B"/>
    <w:rsid w:val="00F02431"/>
    <w:rsid w:val="00F02A69"/>
    <w:rsid w:val="00F02C2A"/>
    <w:rsid w:val="00F03D10"/>
    <w:rsid w:val="00F05593"/>
    <w:rsid w:val="00F05DD0"/>
    <w:rsid w:val="00F10F3F"/>
    <w:rsid w:val="00F11A2C"/>
    <w:rsid w:val="00F12539"/>
    <w:rsid w:val="00F13A56"/>
    <w:rsid w:val="00F14058"/>
    <w:rsid w:val="00F15F1B"/>
    <w:rsid w:val="00F162A9"/>
    <w:rsid w:val="00F1762E"/>
    <w:rsid w:val="00F17A36"/>
    <w:rsid w:val="00F20348"/>
    <w:rsid w:val="00F2110E"/>
    <w:rsid w:val="00F212EF"/>
    <w:rsid w:val="00F2348E"/>
    <w:rsid w:val="00F234A3"/>
    <w:rsid w:val="00F239CF"/>
    <w:rsid w:val="00F23C3B"/>
    <w:rsid w:val="00F24587"/>
    <w:rsid w:val="00F26013"/>
    <w:rsid w:val="00F278D2"/>
    <w:rsid w:val="00F31175"/>
    <w:rsid w:val="00F31F4D"/>
    <w:rsid w:val="00F3266F"/>
    <w:rsid w:val="00F32979"/>
    <w:rsid w:val="00F3393D"/>
    <w:rsid w:val="00F33C5D"/>
    <w:rsid w:val="00F34063"/>
    <w:rsid w:val="00F34C76"/>
    <w:rsid w:val="00F36639"/>
    <w:rsid w:val="00F368D3"/>
    <w:rsid w:val="00F37250"/>
    <w:rsid w:val="00F40508"/>
    <w:rsid w:val="00F418FF"/>
    <w:rsid w:val="00F42F29"/>
    <w:rsid w:val="00F43C9A"/>
    <w:rsid w:val="00F4525A"/>
    <w:rsid w:val="00F45EA0"/>
    <w:rsid w:val="00F45FBA"/>
    <w:rsid w:val="00F46213"/>
    <w:rsid w:val="00F4653C"/>
    <w:rsid w:val="00F4769B"/>
    <w:rsid w:val="00F47E9D"/>
    <w:rsid w:val="00F50573"/>
    <w:rsid w:val="00F517C7"/>
    <w:rsid w:val="00F534D3"/>
    <w:rsid w:val="00F53F53"/>
    <w:rsid w:val="00F557A6"/>
    <w:rsid w:val="00F56D47"/>
    <w:rsid w:val="00F57DC2"/>
    <w:rsid w:val="00F6046F"/>
    <w:rsid w:val="00F60763"/>
    <w:rsid w:val="00F60873"/>
    <w:rsid w:val="00F60C69"/>
    <w:rsid w:val="00F60D77"/>
    <w:rsid w:val="00F60EDF"/>
    <w:rsid w:val="00F610C6"/>
    <w:rsid w:val="00F610F2"/>
    <w:rsid w:val="00F61359"/>
    <w:rsid w:val="00F6181C"/>
    <w:rsid w:val="00F6257F"/>
    <w:rsid w:val="00F62957"/>
    <w:rsid w:val="00F62C9A"/>
    <w:rsid w:val="00F62F87"/>
    <w:rsid w:val="00F63FEF"/>
    <w:rsid w:val="00F640CA"/>
    <w:rsid w:val="00F655DE"/>
    <w:rsid w:val="00F65A25"/>
    <w:rsid w:val="00F65E26"/>
    <w:rsid w:val="00F66427"/>
    <w:rsid w:val="00F66536"/>
    <w:rsid w:val="00F667BB"/>
    <w:rsid w:val="00F67A51"/>
    <w:rsid w:val="00F70B09"/>
    <w:rsid w:val="00F72117"/>
    <w:rsid w:val="00F723B3"/>
    <w:rsid w:val="00F72BD9"/>
    <w:rsid w:val="00F73F2F"/>
    <w:rsid w:val="00F74116"/>
    <w:rsid w:val="00F744F0"/>
    <w:rsid w:val="00F74522"/>
    <w:rsid w:val="00F74701"/>
    <w:rsid w:val="00F74CAD"/>
    <w:rsid w:val="00F75171"/>
    <w:rsid w:val="00F75F26"/>
    <w:rsid w:val="00F76920"/>
    <w:rsid w:val="00F775D9"/>
    <w:rsid w:val="00F77C16"/>
    <w:rsid w:val="00F77EE8"/>
    <w:rsid w:val="00F807D3"/>
    <w:rsid w:val="00F807E0"/>
    <w:rsid w:val="00F80CA3"/>
    <w:rsid w:val="00F814E5"/>
    <w:rsid w:val="00F820AC"/>
    <w:rsid w:val="00F829DB"/>
    <w:rsid w:val="00F86587"/>
    <w:rsid w:val="00F86A58"/>
    <w:rsid w:val="00F86CFF"/>
    <w:rsid w:val="00F87541"/>
    <w:rsid w:val="00F93E8C"/>
    <w:rsid w:val="00F951CF"/>
    <w:rsid w:val="00F95539"/>
    <w:rsid w:val="00F95F5A"/>
    <w:rsid w:val="00F97724"/>
    <w:rsid w:val="00FA0148"/>
    <w:rsid w:val="00FA1451"/>
    <w:rsid w:val="00FA226C"/>
    <w:rsid w:val="00FA2682"/>
    <w:rsid w:val="00FA2718"/>
    <w:rsid w:val="00FA33F6"/>
    <w:rsid w:val="00FA42B8"/>
    <w:rsid w:val="00FA44A6"/>
    <w:rsid w:val="00FA56B5"/>
    <w:rsid w:val="00FA675C"/>
    <w:rsid w:val="00FA6EB7"/>
    <w:rsid w:val="00FA7B85"/>
    <w:rsid w:val="00FB1AC7"/>
    <w:rsid w:val="00FB1BB6"/>
    <w:rsid w:val="00FB22D5"/>
    <w:rsid w:val="00FB2DE5"/>
    <w:rsid w:val="00FB6269"/>
    <w:rsid w:val="00FB6DB8"/>
    <w:rsid w:val="00FB71D9"/>
    <w:rsid w:val="00FB784D"/>
    <w:rsid w:val="00FB7A9D"/>
    <w:rsid w:val="00FC00A0"/>
    <w:rsid w:val="00FC0866"/>
    <w:rsid w:val="00FC0CC8"/>
    <w:rsid w:val="00FC0CD8"/>
    <w:rsid w:val="00FC1455"/>
    <w:rsid w:val="00FC1684"/>
    <w:rsid w:val="00FC23ED"/>
    <w:rsid w:val="00FC26DD"/>
    <w:rsid w:val="00FC2FBC"/>
    <w:rsid w:val="00FC4367"/>
    <w:rsid w:val="00FC4730"/>
    <w:rsid w:val="00FC5BFC"/>
    <w:rsid w:val="00FC5EB3"/>
    <w:rsid w:val="00FC635C"/>
    <w:rsid w:val="00FC687F"/>
    <w:rsid w:val="00FC7030"/>
    <w:rsid w:val="00FC7340"/>
    <w:rsid w:val="00FC774E"/>
    <w:rsid w:val="00FC7BC6"/>
    <w:rsid w:val="00FD1F1D"/>
    <w:rsid w:val="00FD253A"/>
    <w:rsid w:val="00FD281A"/>
    <w:rsid w:val="00FD39D4"/>
    <w:rsid w:val="00FD3EB4"/>
    <w:rsid w:val="00FD7B27"/>
    <w:rsid w:val="00FE00CC"/>
    <w:rsid w:val="00FE10E2"/>
    <w:rsid w:val="00FE1D27"/>
    <w:rsid w:val="00FE1EA9"/>
    <w:rsid w:val="00FE258B"/>
    <w:rsid w:val="00FE2983"/>
    <w:rsid w:val="00FE4D92"/>
    <w:rsid w:val="00FE5FFF"/>
    <w:rsid w:val="00FE600E"/>
    <w:rsid w:val="00FE605C"/>
    <w:rsid w:val="00FE6561"/>
    <w:rsid w:val="00FE6858"/>
    <w:rsid w:val="00FF11AB"/>
    <w:rsid w:val="00FF2545"/>
    <w:rsid w:val="00FF27EE"/>
    <w:rsid w:val="00FF3BFD"/>
    <w:rsid w:val="00FF3E26"/>
    <w:rsid w:val="00FF480A"/>
    <w:rsid w:val="00FF484C"/>
    <w:rsid w:val="00FF4E5B"/>
    <w:rsid w:val="00FF526B"/>
    <w:rsid w:val="00FF60D9"/>
    <w:rsid w:val="00FF7267"/>
    <w:rsid w:val="00FF73EF"/>
    <w:rsid w:val="014B6760"/>
    <w:rsid w:val="016B5DEE"/>
    <w:rsid w:val="02324483"/>
    <w:rsid w:val="03285663"/>
    <w:rsid w:val="03D75741"/>
    <w:rsid w:val="03E74DEA"/>
    <w:rsid w:val="04E76665"/>
    <w:rsid w:val="054F27C3"/>
    <w:rsid w:val="05DF4921"/>
    <w:rsid w:val="05F44FB4"/>
    <w:rsid w:val="06814160"/>
    <w:rsid w:val="073C43DD"/>
    <w:rsid w:val="083950A2"/>
    <w:rsid w:val="083C746E"/>
    <w:rsid w:val="08672B8E"/>
    <w:rsid w:val="08DF04D7"/>
    <w:rsid w:val="091E6D15"/>
    <w:rsid w:val="09DD1D7B"/>
    <w:rsid w:val="0AF372C7"/>
    <w:rsid w:val="0C1678D1"/>
    <w:rsid w:val="0C3A63D2"/>
    <w:rsid w:val="0CF14A50"/>
    <w:rsid w:val="0D4F6A55"/>
    <w:rsid w:val="0D7F3412"/>
    <w:rsid w:val="0DE83E9E"/>
    <w:rsid w:val="0E9056B1"/>
    <w:rsid w:val="0EC5611A"/>
    <w:rsid w:val="0EE03DF4"/>
    <w:rsid w:val="0F0A10D5"/>
    <w:rsid w:val="0F3634E1"/>
    <w:rsid w:val="0F4044B0"/>
    <w:rsid w:val="0F7F6343"/>
    <w:rsid w:val="10AE675A"/>
    <w:rsid w:val="11035F30"/>
    <w:rsid w:val="114137C8"/>
    <w:rsid w:val="11E604FE"/>
    <w:rsid w:val="13A86500"/>
    <w:rsid w:val="13D750EE"/>
    <w:rsid w:val="146301B1"/>
    <w:rsid w:val="1540331B"/>
    <w:rsid w:val="1572447C"/>
    <w:rsid w:val="1675703D"/>
    <w:rsid w:val="17A306E6"/>
    <w:rsid w:val="17E94B4A"/>
    <w:rsid w:val="185F5FD5"/>
    <w:rsid w:val="197A3602"/>
    <w:rsid w:val="19A0132E"/>
    <w:rsid w:val="19C24225"/>
    <w:rsid w:val="1A4D23FA"/>
    <w:rsid w:val="1A9756BC"/>
    <w:rsid w:val="1C7D2EB0"/>
    <w:rsid w:val="1D8034C4"/>
    <w:rsid w:val="1DCF499E"/>
    <w:rsid w:val="1DEE4CF7"/>
    <w:rsid w:val="1E191BF6"/>
    <w:rsid w:val="1E1F52B8"/>
    <w:rsid w:val="1E2A021B"/>
    <w:rsid w:val="1EEB532C"/>
    <w:rsid w:val="1F3F4088"/>
    <w:rsid w:val="1FA51B88"/>
    <w:rsid w:val="1FEB91A3"/>
    <w:rsid w:val="200B2E07"/>
    <w:rsid w:val="20251045"/>
    <w:rsid w:val="21021196"/>
    <w:rsid w:val="21F960DD"/>
    <w:rsid w:val="22E87920"/>
    <w:rsid w:val="23661F6F"/>
    <w:rsid w:val="23A64281"/>
    <w:rsid w:val="23E91300"/>
    <w:rsid w:val="24024297"/>
    <w:rsid w:val="247A4971"/>
    <w:rsid w:val="25641E00"/>
    <w:rsid w:val="25893B43"/>
    <w:rsid w:val="25933815"/>
    <w:rsid w:val="25946256"/>
    <w:rsid w:val="25DC318A"/>
    <w:rsid w:val="25DC7322"/>
    <w:rsid w:val="26EC1594"/>
    <w:rsid w:val="271F52BE"/>
    <w:rsid w:val="27472AC2"/>
    <w:rsid w:val="279239A5"/>
    <w:rsid w:val="27E46300"/>
    <w:rsid w:val="2876159A"/>
    <w:rsid w:val="29785F1E"/>
    <w:rsid w:val="29DA5897"/>
    <w:rsid w:val="2A4730BC"/>
    <w:rsid w:val="2AE834F2"/>
    <w:rsid w:val="2B633ADC"/>
    <w:rsid w:val="2C415A91"/>
    <w:rsid w:val="2C775151"/>
    <w:rsid w:val="2D5F771C"/>
    <w:rsid w:val="2D752A66"/>
    <w:rsid w:val="2E012E90"/>
    <w:rsid w:val="2EB3275E"/>
    <w:rsid w:val="2EB659EC"/>
    <w:rsid w:val="2EE84B51"/>
    <w:rsid w:val="2F375933"/>
    <w:rsid w:val="2FE36023"/>
    <w:rsid w:val="30281E30"/>
    <w:rsid w:val="305C256D"/>
    <w:rsid w:val="310E1126"/>
    <w:rsid w:val="3165235E"/>
    <w:rsid w:val="3191038E"/>
    <w:rsid w:val="329F5715"/>
    <w:rsid w:val="338B3250"/>
    <w:rsid w:val="33E16A6E"/>
    <w:rsid w:val="34D03CDF"/>
    <w:rsid w:val="34F51D15"/>
    <w:rsid w:val="35F8B80D"/>
    <w:rsid w:val="36C73A30"/>
    <w:rsid w:val="37B214EF"/>
    <w:rsid w:val="38153827"/>
    <w:rsid w:val="3819945B"/>
    <w:rsid w:val="3A5C7EB2"/>
    <w:rsid w:val="3AD147BE"/>
    <w:rsid w:val="3B2FDBAB"/>
    <w:rsid w:val="3B802BC3"/>
    <w:rsid w:val="3B8E639F"/>
    <w:rsid w:val="3BE441A4"/>
    <w:rsid w:val="3C3B1CF3"/>
    <w:rsid w:val="3C7846A2"/>
    <w:rsid w:val="3C8C26F1"/>
    <w:rsid w:val="3D2C13BB"/>
    <w:rsid w:val="3DCCF2B7"/>
    <w:rsid w:val="3DF654DF"/>
    <w:rsid w:val="3E1F3B34"/>
    <w:rsid w:val="3E2C41A2"/>
    <w:rsid w:val="3F3D5C80"/>
    <w:rsid w:val="3F781B0D"/>
    <w:rsid w:val="3F7C5F86"/>
    <w:rsid w:val="3FBF3CC8"/>
    <w:rsid w:val="400368FE"/>
    <w:rsid w:val="40291FC9"/>
    <w:rsid w:val="404039F6"/>
    <w:rsid w:val="408555BD"/>
    <w:rsid w:val="40941DD4"/>
    <w:rsid w:val="413029A4"/>
    <w:rsid w:val="4171366A"/>
    <w:rsid w:val="41F33B15"/>
    <w:rsid w:val="41FC65D1"/>
    <w:rsid w:val="42285C9F"/>
    <w:rsid w:val="4276068B"/>
    <w:rsid w:val="44A221ED"/>
    <w:rsid w:val="45C77987"/>
    <w:rsid w:val="46295D6C"/>
    <w:rsid w:val="466B3E78"/>
    <w:rsid w:val="46D9062B"/>
    <w:rsid w:val="47ED1D77"/>
    <w:rsid w:val="47EF9792"/>
    <w:rsid w:val="484A573B"/>
    <w:rsid w:val="48751328"/>
    <w:rsid w:val="48A24875"/>
    <w:rsid w:val="48C25E27"/>
    <w:rsid w:val="495F1699"/>
    <w:rsid w:val="49963047"/>
    <w:rsid w:val="49B07E2F"/>
    <w:rsid w:val="49B54C2E"/>
    <w:rsid w:val="4A2C0BC3"/>
    <w:rsid w:val="4A541B9F"/>
    <w:rsid w:val="4B262CE9"/>
    <w:rsid w:val="4B325F76"/>
    <w:rsid w:val="4B4F40BA"/>
    <w:rsid w:val="4B6F16B1"/>
    <w:rsid w:val="4C722D82"/>
    <w:rsid w:val="4C7B4C66"/>
    <w:rsid w:val="4CE41A28"/>
    <w:rsid w:val="4DA623EA"/>
    <w:rsid w:val="4DD4332F"/>
    <w:rsid w:val="4E206752"/>
    <w:rsid w:val="4E284E74"/>
    <w:rsid w:val="4EC6199E"/>
    <w:rsid w:val="4FF1733F"/>
    <w:rsid w:val="4FFBC9D5"/>
    <w:rsid w:val="50150E1F"/>
    <w:rsid w:val="504E3882"/>
    <w:rsid w:val="506B4BFB"/>
    <w:rsid w:val="50CA5CEA"/>
    <w:rsid w:val="51083014"/>
    <w:rsid w:val="51A7549A"/>
    <w:rsid w:val="51C5236C"/>
    <w:rsid w:val="51C61EED"/>
    <w:rsid w:val="522507DB"/>
    <w:rsid w:val="523EEA95"/>
    <w:rsid w:val="534F759D"/>
    <w:rsid w:val="541B48CE"/>
    <w:rsid w:val="54442DCE"/>
    <w:rsid w:val="552B1D6D"/>
    <w:rsid w:val="552E2667"/>
    <w:rsid w:val="56877356"/>
    <w:rsid w:val="568F510E"/>
    <w:rsid w:val="56B52DF9"/>
    <w:rsid w:val="571C0787"/>
    <w:rsid w:val="5768670A"/>
    <w:rsid w:val="579F77E1"/>
    <w:rsid w:val="57F5C481"/>
    <w:rsid w:val="59652D83"/>
    <w:rsid w:val="59727C75"/>
    <w:rsid w:val="5A6D3051"/>
    <w:rsid w:val="5AF548FB"/>
    <w:rsid w:val="5B6B15F8"/>
    <w:rsid w:val="5BAC5D9D"/>
    <w:rsid w:val="5BB95E08"/>
    <w:rsid w:val="5BDF2E43"/>
    <w:rsid w:val="5C11B127"/>
    <w:rsid w:val="5C1267EE"/>
    <w:rsid w:val="5C1A55BD"/>
    <w:rsid w:val="5C2500CB"/>
    <w:rsid w:val="5C5E4B35"/>
    <w:rsid w:val="5C89319D"/>
    <w:rsid w:val="5CF216CE"/>
    <w:rsid w:val="5D345F0D"/>
    <w:rsid w:val="5D6029C1"/>
    <w:rsid w:val="5D7FCCF9"/>
    <w:rsid w:val="5DD90017"/>
    <w:rsid w:val="5DDE5890"/>
    <w:rsid w:val="5E551A99"/>
    <w:rsid w:val="5E811F17"/>
    <w:rsid w:val="5ED71909"/>
    <w:rsid w:val="5EF020FF"/>
    <w:rsid w:val="5FA9399A"/>
    <w:rsid w:val="5FFC3909"/>
    <w:rsid w:val="60596C39"/>
    <w:rsid w:val="60DC5A44"/>
    <w:rsid w:val="610D70E2"/>
    <w:rsid w:val="6137551D"/>
    <w:rsid w:val="617AFA96"/>
    <w:rsid w:val="62664009"/>
    <w:rsid w:val="62B32B7E"/>
    <w:rsid w:val="63C716A8"/>
    <w:rsid w:val="63EA7DB0"/>
    <w:rsid w:val="64920C54"/>
    <w:rsid w:val="64B24842"/>
    <w:rsid w:val="65192C73"/>
    <w:rsid w:val="65332F40"/>
    <w:rsid w:val="659A56D2"/>
    <w:rsid w:val="65C4074F"/>
    <w:rsid w:val="66300588"/>
    <w:rsid w:val="66512778"/>
    <w:rsid w:val="66530737"/>
    <w:rsid w:val="667102F1"/>
    <w:rsid w:val="66916701"/>
    <w:rsid w:val="6699231A"/>
    <w:rsid w:val="66A5F9C1"/>
    <w:rsid w:val="67064B8B"/>
    <w:rsid w:val="6826415F"/>
    <w:rsid w:val="69004198"/>
    <w:rsid w:val="698A39FD"/>
    <w:rsid w:val="69A812E2"/>
    <w:rsid w:val="6A1F142A"/>
    <w:rsid w:val="6A303CA8"/>
    <w:rsid w:val="6A6E6336"/>
    <w:rsid w:val="6A8A480F"/>
    <w:rsid w:val="6AED4478"/>
    <w:rsid w:val="6B225A82"/>
    <w:rsid w:val="6B4979E8"/>
    <w:rsid w:val="6B7441F8"/>
    <w:rsid w:val="6BB11D82"/>
    <w:rsid w:val="6CA937B6"/>
    <w:rsid w:val="6DC56C77"/>
    <w:rsid w:val="6E1670CA"/>
    <w:rsid w:val="6E43334D"/>
    <w:rsid w:val="6E634C7C"/>
    <w:rsid w:val="6E835C07"/>
    <w:rsid w:val="6EBB4461"/>
    <w:rsid w:val="6EE3472D"/>
    <w:rsid w:val="6F1654F2"/>
    <w:rsid w:val="6F5F2AAC"/>
    <w:rsid w:val="6F70610B"/>
    <w:rsid w:val="6F7B7282"/>
    <w:rsid w:val="6F9E4614"/>
    <w:rsid w:val="6FB45B37"/>
    <w:rsid w:val="6FC90623"/>
    <w:rsid w:val="6FDB3F1B"/>
    <w:rsid w:val="700D6935"/>
    <w:rsid w:val="706D0178"/>
    <w:rsid w:val="708C7136"/>
    <w:rsid w:val="70A7195F"/>
    <w:rsid w:val="7110276C"/>
    <w:rsid w:val="71A327AC"/>
    <w:rsid w:val="71DC76AB"/>
    <w:rsid w:val="72124643"/>
    <w:rsid w:val="7266153A"/>
    <w:rsid w:val="728524D7"/>
    <w:rsid w:val="729FBF25"/>
    <w:rsid w:val="73400AAF"/>
    <w:rsid w:val="736B489B"/>
    <w:rsid w:val="73850D8F"/>
    <w:rsid w:val="739515E5"/>
    <w:rsid w:val="73B266EB"/>
    <w:rsid w:val="73B54E4B"/>
    <w:rsid w:val="740C2B94"/>
    <w:rsid w:val="74856E26"/>
    <w:rsid w:val="75473852"/>
    <w:rsid w:val="7596076B"/>
    <w:rsid w:val="75CD6F6E"/>
    <w:rsid w:val="76574962"/>
    <w:rsid w:val="76587C3B"/>
    <w:rsid w:val="76646885"/>
    <w:rsid w:val="76A45704"/>
    <w:rsid w:val="76C13804"/>
    <w:rsid w:val="76FE2B9A"/>
    <w:rsid w:val="770414ED"/>
    <w:rsid w:val="770639CD"/>
    <w:rsid w:val="77B00F3F"/>
    <w:rsid w:val="78B840C5"/>
    <w:rsid w:val="78EE59F7"/>
    <w:rsid w:val="79234163"/>
    <w:rsid w:val="798F1A07"/>
    <w:rsid w:val="79AC2C61"/>
    <w:rsid w:val="7AC011B7"/>
    <w:rsid w:val="7B894156"/>
    <w:rsid w:val="7B961C30"/>
    <w:rsid w:val="7C016BE2"/>
    <w:rsid w:val="7C0D52B8"/>
    <w:rsid w:val="7C277FCD"/>
    <w:rsid w:val="7CB178CA"/>
    <w:rsid w:val="7CB95C29"/>
    <w:rsid w:val="7CFF024B"/>
    <w:rsid w:val="7D095E26"/>
    <w:rsid w:val="7D875FC6"/>
    <w:rsid w:val="7D9D4289"/>
    <w:rsid w:val="7DEE84BC"/>
    <w:rsid w:val="7DFA0575"/>
    <w:rsid w:val="7E1039AB"/>
    <w:rsid w:val="7E604F74"/>
    <w:rsid w:val="7EA1612B"/>
    <w:rsid w:val="7ED60925"/>
    <w:rsid w:val="7EEE4AFD"/>
    <w:rsid w:val="7F310ED7"/>
    <w:rsid w:val="7F5E035C"/>
    <w:rsid w:val="7F77656E"/>
    <w:rsid w:val="7FF941FF"/>
    <w:rsid w:val="7FFF22BB"/>
    <w:rsid w:val="7FFFA979"/>
    <w:rsid w:val="7FFFC5E1"/>
    <w:rsid w:val="908E3FC5"/>
    <w:rsid w:val="99C35B1F"/>
    <w:rsid w:val="9A766E81"/>
    <w:rsid w:val="9FCF159D"/>
    <w:rsid w:val="AADCE9E2"/>
    <w:rsid w:val="BE9EB201"/>
    <w:rsid w:val="BEF61FB7"/>
    <w:rsid w:val="C074AE5D"/>
    <w:rsid w:val="C0E80FD7"/>
    <w:rsid w:val="C8CF9F7B"/>
    <w:rsid w:val="C96ACAFD"/>
    <w:rsid w:val="CB3F1B2A"/>
    <w:rsid w:val="CF9DBF89"/>
    <w:rsid w:val="D309C1D0"/>
    <w:rsid w:val="D6FB3D4C"/>
    <w:rsid w:val="E67764A9"/>
    <w:rsid w:val="EA8DC320"/>
    <w:rsid w:val="EB6F77D3"/>
    <w:rsid w:val="EBBB2D9C"/>
    <w:rsid w:val="EFFFF3DA"/>
    <w:rsid w:val="F263A64E"/>
    <w:rsid w:val="F77FCF29"/>
    <w:rsid w:val="FA977B7F"/>
    <w:rsid w:val="FACFCC4D"/>
    <w:rsid w:val="FDEF2F15"/>
    <w:rsid w:val="FFA414F6"/>
    <w:rsid w:val="FFDF24D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880" w:firstLineChars="200"/>
      <w:jc w:val="both"/>
    </w:pPr>
    <w:rPr>
      <w:rFonts w:ascii="Times New Roman" w:hAnsi="Times New Roman" w:eastAsia="仿宋_GB2312" w:cs="黑体"/>
      <w:kern w:val="2"/>
      <w:sz w:val="30"/>
      <w:szCs w:val="30"/>
      <w:lang w:val="en-US" w:eastAsia="zh-CN" w:bidi="ar-SA"/>
    </w:rPr>
  </w:style>
  <w:style w:type="paragraph" w:styleId="3">
    <w:name w:val="heading 1"/>
    <w:next w:val="1"/>
    <w:link w:val="40"/>
    <w:qFormat/>
    <w:uiPriority w:val="0"/>
    <w:pPr>
      <w:keepNext/>
      <w:keepLines/>
      <w:numPr>
        <w:ilvl w:val="0"/>
        <w:numId w:val="1"/>
      </w:numPr>
      <w:spacing w:before="100" w:beforeLines="100" w:after="100" w:afterLines="100"/>
      <w:jc w:val="center"/>
      <w:outlineLvl w:val="0"/>
    </w:pPr>
    <w:rPr>
      <w:rFonts w:ascii="Times New Roman" w:hAnsi="Times New Roman" w:eastAsia="黑体"/>
      <w:kern w:val="44"/>
      <w:sz w:val="40"/>
      <w:szCs w:val="40"/>
      <w:lang w:val="en-US" w:eastAsia="zh-CN" w:bidi="ar-SA"/>
    </w:rPr>
  </w:style>
  <w:style w:type="paragraph" w:styleId="4">
    <w:name w:val="heading 2"/>
    <w:basedOn w:val="1"/>
    <w:next w:val="1"/>
    <w:link w:val="41"/>
    <w:qFormat/>
    <w:uiPriority w:val="9"/>
    <w:pPr>
      <w:keepNext/>
      <w:keepLines/>
      <w:spacing w:before="50" w:beforeLines="50" w:after="50" w:afterLines="50" w:line="240" w:lineRule="auto"/>
      <w:ind w:firstLine="0" w:firstLineChars="0"/>
      <w:jc w:val="center"/>
      <w:outlineLvl w:val="1"/>
    </w:pPr>
    <w:rPr>
      <w:rFonts w:ascii="Times New Roman" w:hAnsi="Times New Roman" w:eastAsia="黑体" w:cs="Times New Roman"/>
      <w:sz w:val="32"/>
      <w:szCs w:val="32"/>
    </w:rPr>
  </w:style>
  <w:style w:type="paragraph" w:styleId="5">
    <w:name w:val="heading 3"/>
    <w:basedOn w:val="1"/>
    <w:next w:val="1"/>
    <w:link w:val="42"/>
    <w:qFormat/>
    <w:uiPriority w:val="0"/>
    <w:pPr>
      <w:keepNext/>
      <w:keepLines/>
      <w:spacing w:before="50" w:beforeLines="50" w:after="50" w:afterLines="50" w:line="240" w:lineRule="auto"/>
      <w:ind w:firstLine="0" w:firstLineChars="0"/>
      <w:outlineLvl w:val="2"/>
    </w:pPr>
    <w:rPr>
      <w:rFonts w:eastAsia="黑体" w:cs="Times New Roman"/>
    </w:rPr>
  </w:style>
  <w:style w:type="paragraph" w:styleId="6">
    <w:name w:val="heading 4"/>
    <w:basedOn w:val="7"/>
    <w:next w:val="1"/>
    <w:link w:val="44"/>
    <w:qFormat/>
    <w:uiPriority w:val="0"/>
    <w:pPr>
      <w:numPr>
        <w:ilvl w:val="0"/>
        <w:numId w:val="2"/>
      </w:numPr>
      <w:ind w:firstLineChars="0"/>
      <w:outlineLvl w:val="3"/>
    </w:pPr>
    <w:rPr>
      <w:rFonts w:ascii="Times New Roman" w:hAnsi="Times New Roman" w:eastAsia="宋体" w:cs="Times New Roman"/>
    </w:rPr>
  </w:style>
  <w:style w:type="paragraph" w:styleId="9">
    <w:name w:val="heading 5"/>
    <w:basedOn w:val="1"/>
    <w:next w:val="1"/>
    <w:link w:val="45"/>
    <w:qFormat/>
    <w:uiPriority w:val="0"/>
    <w:pPr>
      <w:keepNext/>
      <w:keepLines/>
      <w:spacing w:before="280" w:after="290" w:line="372" w:lineRule="auto"/>
      <w:ind w:left="1008" w:hanging="1008"/>
      <w:outlineLvl w:val="4"/>
    </w:pPr>
    <w:rPr>
      <w:rFonts w:ascii="Calibri" w:hAnsi="Calibri" w:eastAsia="宋体" w:cs="Times New Roman"/>
      <w:b/>
      <w:sz w:val="28"/>
      <w:szCs w:val="24"/>
    </w:rPr>
  </w:style>
  <w:style w:type="paragraph" w:styleId="10">
    <w:name w:val="heading 6"/>
    <w:basedOn w:val="1"/>
    <w:next w:val="1"/>
    <w:link w:val="46"/>
    <w:qFormat/>
    <w:uiPriority w:val="0"/>
    <w:pPr>
      <w:keepNext/>
      <w:keepLines/>
      <w:spacing w:before="240" w:after="64" w:line="317" w:lineRule="auto"/>
      <w:ind w:left="1151" w:hanging="1151"/>
      <w:outlineLvl w:val="5"/>
    </w:pPr>
    <w:rPr>
      <w:rFonts w:ascii="Arial" w:hAnsi="Arial" w:eastAsia="黑体" w:cs="Times New Roman"/>
      <w:b/>
      <w:sz w:val="24"/>
      <w:szCs w:val="24"/>
    </w:rPr>
  </w:style>
  <w:style w:type="paragraph" w:styleId="11">
    <w:name w:val="heading 7"/>
    <w:basedOn w:val="1"/>
    <w:next w:val="1"/>
    <w:link w:val="47"/>
    <w:qFormat/>
    <w:uiPriority w:val="0"/>
    <w:pPr>
      <w:keepNext/>
      <w:keepLines/>
      <w:spacing w:before="240" w:after="64" w:line="317" w:lineRule="auto"/>
      <w:ind w:left="1296" w:hanging="1296"/>
      <w:outlineLvl w:val="6"/>
    </w:pPr>
    <w:rPr>
      <w:rFonts w:ascii="Calibri" w:hAnsi="Calibri" w:eastAsia="宋体" w:cs="Times New Roman"/>
      <w:b/>
      <w:sz w:val="24"/>
      <w:szCs w:val="24"/>
    </w:rPr>
  </w:style>
  <w:style w:type="paragraph" w:styleId="12">
    <w:name w:val="heading 8"/>
    <w:basedOn w:val="1"/>
    <w:next w:val="1"/>
    <w:link w:val="48"/>
    <w:qFormat/>
    <w:uiPriority w:val="0"/>
    <w:pPr>
      <w:keepNext/>
      <w:keepLines/>
      <w:spacing w:before="240" w:after="64" w:line="317" w:lineRule="auto"/>
      <w:ind w:left="1440" w:hanging="1440"/>
      <w:outlineLvl w:val="7"/>
    </w:pPr>
    <w:rPr>
      <w:rFonts w:ascii="Arial" w:hAnsi="Arial" w:eastAsia="黑体" w:cs="Times New Roman"/>
      <w:sz w:val="24"/>
      <w:szCs w:val="24"/>
    </w:rPr>
  </w:style>
  <w:style w:type="paragraph" w:styleId="13">
    <w:name w:val="heading 9"/>
    <w:basedOn w:val="1"/>
    <w:next w:val="1"/>
    <w:link w:val="49"/>
    <w:qFormat/>
    <w:uiPriority w:val="0"/>
    <w:pPr>
      <w:keepNext/>
      <w:keepLines/>
      <w:spacing w:before="240" w:after="64" w:line="317" w:lineRule="auto"/>
      <w:ind w:left="1583" w:hanging="1583"/>
      <w:outlineLvl w:val="8"/>
    </w:pPr>
    <w:rPr>
      <w:rFonts w:ascii="Arial" w:hAnsi="Arial" w:eastAsia="黑体" w:cs="Times New Roman"/>
      <w:sz w:val="21"/>
      <w:szCs w:val="24"/>
    </w:rPr>
  </w:style>
  <w:style w:type="character" w:default="1" w:styleId="34">
    <w:name w:val="Default Paragraph Font"/>
    <w:uiPriority w:val="0"/>
    <w:rPr>
      <w:rFonts w:ascii="Times New Roman" w:hAnsi="Times New Roman" w:eastAsia="宋体" w:cs="Times New Roman"/>
    </w:rPr>
  </w:style>
  <w:style w:type="table" w:default="1" w:styleId="32">
    <w:name w:val="Normal Table"/>
    <w:uiPriority w:val="0"/>
    <w:rPr>
      <w:rFonts w:ascii="Times New Roman" w:hAnsi="Times New Roman" w:eastAsia="宋体" w:cs="Times New Roman"/>
    </w:rPr>
    <w:tblPr>
      <w:tblStyle w:val="32"/>
      <w:tblCellMar>
        <w:top w:w="0" w:type="dxa"/>
        <w:left w:w="108" w:type="dxa"/>
        <w:bottom w:w="0" w:type="dxa"/>
        <w:right w:w="108" w:type="dxa"/>
      </w:tblCellMar>
    </w:tblPr>
  </w:style>
  <w:style w:type="paragraph" w:styleId="2">
    <w:name w:val="Normal Indent"/>
    <w:basedOn w:val="1"/>
    <w:next w:val="1"/>
    <w:qFormat/>
    <w:uiPriority w:val="0"/>
    <w:pPr>
      <w:ind w:firstLine="420"/>
    </w:pPr>
    <w:rPr>
      <w:rFonts w:ascii="Times New Roman" w:hAnsi="Times New Roman"/>
      <w:sz w:val="32"/>
    </w:rPr>
  </w:style>
  <w:style w:type="paragraph" w:customStyle="1" w:styleId="7">
    <w:name w:val="正文内容-zh"/>
    <w:basedOn w:val="8"/>
    <w:link w:val="43"/>
    <w:qFormat/>
    <w:uiPriority w:val="0"/>
    <w:pPr>
      <w:spacing w:line="240" w:lineRule="auto"/>
      <w:ind w:firstLine="880" w:firstLineChars="200"/>
    </w:pPr>
    <w:rPr>
      <w:rFonts w:ascii="Times New Roman" w:hAnsi="Times New Roman" w:eastAsia="仿宋_GB2312" w:cs="Times New Roman"/>
      <w:sz w:val="30"/>
      <w:szCs w:val="30"/>
    </w:rPr>
  </w:style>
  <w:style w:type="paragraph" w:customStyle="1" w:styleId="8">
    <w:name w:val="表格字体顶格"/>
    <w:qFormat/>
    <w:uiPriority w:val="0"/>
    <w:pPr>
      <w:widowControl w:val="0"/>
      <w:autoSpaceDE w:val="0"/>
      <w:autoSpaceDN w:val="0"/>
      <w:jc w:val="center"/>
    </w:pPr>
    <w:rPr>
      <w:rFonts w:ascii="Times New Roman" w:hAnsi="Times New Roman" w:eastAsia="仿宋_GB2312"/>
      <w:color w:val="000000"/>
      <w:sz w:val="24"/>
      <w:szCs w:val="24"/>
      <w:lang w:val="en-US" w:eastAsia="zh-CN" w:bidi="ar-SA"/>
    </w:rPr>
  </w:style>
  <w:style w:type="paragraph" w:styleId="14">
    <w:name w:val="toc 7"/>
    <w:basedOn w:val="1"/>
    <w:next w:val="1"/>
    <w:uiPriority w:val="39"/>
    <w:pPr>
      <w:ind w:left="2520" w:leftChars="1200"/>
    </w:pPr>
    <w:rPr>
      <w:rFonts w:ascii="Calibri" w:hAnsi="Calibri" w:eastAsia="宋体" w:cs="Times New Roman"/>
    </w:rPr>
  </w:style>
  <w:style w:type="paragraph" w:styleId="15">
    <w:name w:val="annotation text"/>
    <w:basedOn w:val="1"/>
    <w:link w:val="50"/>
    <w:qFormat/>
    <w:uiPriority w:val="0"/>
    <w:pPr>
      <w:jc w:val="left"/>
    </w:pPr>
    <w:rPr>
      <w:rFonts w:ascii="Times New Roman" w:hAnsi="Times New Roman" w:eastAsia="宋体" w:cs="Times New Roman"/>
    </w:rPr>
  </w:style>
  <w:style w:type="paragraph" w:styleId="16">
    <w:name w:val="Body Text"/>
    <w:basedOn w:val="1"/>
    <w:link w:val="51"/>
    <w:uiPriority w:val="0"/>
    <w:pPr>
      <w:adjustRightInd w:val="0"/>
      <w:snapToGrid w:val="0"/>
      <w:ind w:firstLine="200" w:firstLineChars="200"/>
      <w:jc w:val="left"/>
    </w:pPr>
    <w:rPr>
      <w:rFonts w:ascii="华文细黑" w:hAnsi="华文细黑" w:eastAsia="华文细黑" w:cs="Times New Roman"/>
      <w:color w:val="FF9900"/>
      <w:kern w:val="0"/>
      <w:sz w:val="20"/>
      <w:szCs w:val="24"/>
      <w:lang w:val="zh-CN" w:eastAsia="zh-CN"/>
    </w:rPr>
  </w:style>
  <w:style w:type="paragraph" w:styleId="17">
    <w:name w:val="toc 5"/>
    <w:basedOn w:val="1"/>
    <w:next w:val="1"/>
    <w:uiPriority w:val="39"/>
    <w:pPr>
      <w:ind w:left="1680" w:leftChars="800"/>
    </w:pPr>
    <w:rPr>
      <w:rFonts w:ascii="Calibri" w:hAnsi="Calibri" w:eastAsia="宋体" w:cs="Times New Roman"/>
    </w:rPr>
  </w:style>
  <w:style w:type="paragraph" w:styleId="18">
    <w:name w:val="toc 3"/>
    <w:next w:val="1"/>
    <w:qFormat/>
    <w:uiPriority w:val="39"/>
    <w:pPr>
      <w:tabs>
        <w:tab w:val="left" w:pos="2100"/>
        <w:tab w:val="right" w:leader="dot" w:pos="8296"/>
      </w:tabs>
      <w:snapToGrid w:val="0"/>
      <w:ind w:left="840" w:leftChars="400"/>
    </w:pPr>
    <w:rPr>
      <w:rFonts w:ascii="Times New Roman" w:hAnsi="Times New Roman" w:eastAsia="仿宋_GB2312"/>
      <w:sz w:val="21"/>
      <w:szCs w:val="21"/>
      <w:lang w:val="en-US" w:eastAsia="zh-CN" w:bidi="ar-SA"/>
    </w:rPr>
  </w:style>
  <w:style w:type="paragraph" w:styleId="19">
    <w:name w:val="toc 8"/>
    <w:basedOn w:val="1"/>
    <w:next w:val="1"/>
    <w:uiPriority w:val="39"/>
    <w:pPr>
      <w:ind w:left="2940" w:leftChars="1400"/>
    </w:pPr>
    <w:rPr>
      <w:rFonts w:ascii="Calibri" w:hAnsi="Calibri" w:eastAsia="宋体" w:cs="Times New Roman"/>
    </w:rPr>
  </w:style>
  <w:style w:type="paragraph" w:styleId="20">
    <w:name w:val="Date"/>
    <w:basedOn w:val="1"/>
    <w:next w:val="1"/>
    <w:link w:val="52"/>
    <w:qFormat/>
    <w:uiPriority w:val="0"/>
    <w:pPr>
      <w:spacing w:line="240" w:lineRule="auto"/>
      <w:ind w:left="100" w:leftChars="2500"/>
    </w:pPr>
    <w:rPr>
      <w:rFonts w:ascii="Calibri" w:hAnsi="Calibri" w:eastAsia="宋体" w:cs="Times New Roman"/>
      <w:sz w:val="21"/>
      <w:szCs w:val="24"/>
    </w:rPr>
  </w:style>
  <w:style w:type="paragraph" w:styleId="21">
    <w:name w:val="Balloon Text"/>
    <w:basedOn w:val="1"/>
    <w:link w:val="53"/>
    <w:qFormat/>
    <w:uiPriority w:val="0"/>
    <w:rPr>
      <w:rFonts w:ascii="Times New Roman" w:hAnsi="Times New Roman" w:eastAsia="宋体" w:cs="Times New Roman"/>
      <w:sz w:val="18"/>
      <w:szCs w:val="18"/>
    </w:rPr>
  </w:style>
  <w:style w:type="paragraph" w:styleId="22">
    <w:name w:val="footer"/>
    <w:basedOn w:val="1"/>
    <w:link w:val="54"/>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23">
    <w:name w:val="header"/>
    <w:basedOn w:val="1"/>
    <w:link w:val="55"/>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24">
    <w:name w:val="toc 1"/>
    <w:next w:val="1"/>
    <w:qFormat/>
    <w:uiPriority w:val="39"/>
    <w:pPr>
      <w:tabs>
        <w:tab w:val="right" w:leader="dot" w:pos="8296"/>
      </w:tabs>
    </w:pPr>
    <w:rPr>
      <w:rFonts w:ascii="Times New Roman" w:hAnsi="Times New Roman" w:eastAsia="黑体"/>
      <w:sz w:val="28"/>
      <w:szCs w:val="28"/>
      <w:lang w:val="en-US" w:eastAsia="zh-CN" w:bidi="ar-SA"/>
    </w:rPr>
  </w:style>
  <w:style w:type="paragraph" w:styleId="25">
    <w:name w:val="toc 4"/>
    <w:basedOn w:val="7"/>
    <w:next w:val="1"/>
    <w:uiPriority w:val="39"/>
    <w:pPr>
      <w:tabs>
        <w:tab w:val="left" w:pos="1440"/>
      </w:tabs>
      <w:ind w:firstLine="0" w:firstLineChars="0"/>
    </w:pPr>
    <w:rPr>
      <w:rFonts w:ascii="Times New Roman" w:hAnsi="Times New Roman" w:eastAsia="宋体" w:cs="Times New Roman"/>
    </w:rPr>
  </w:style>
  <w:style w:type="paragraph" w:styleId="26">
    <w:name w:val="footnote text"/>
    <w:basedOn w:val="1"/>
    <w:link w:val="56"/>
    <w:qFormat/>
    <w:uiPriority w:val="0"/>
    <w:pPr>
      <w:snapToGrid w:val="0"/>
      <w:jc w:val="left"/>
    </w:pPr>
    <w:rPr>
      <w:rFonts w:ascii="Times New Roman" w:hAnsi="Times New Roman" w:eastAsia="宋体" w:cs="Times New Roman"/>
      <w:sz w:val="18"/>
      <w:szCs w:val="18"/>
    </w:rPr>
  </w:style>
  <w:style w:type="paragraph" w:styleId="27">
    <w:name w:val="toc 6"/>
    <w:basedOn w:val="1"/>
    <w:next w:val="1"/>
    <w:uiPriority w:val="39"/>
    <w:pPr>
      <w:ind w:left="2100" w:leftChars="1000"/>
    </w:pPr>
    <w:rPr>
      <w:rFonts w:ascii="Calibri" w:hAnsi="Calibri" w:eastAsia="宋体" w:cs="Times New Roman"/>
    </w:rPr>
  </w:style>
  <w:style w:type="paragraph" w:styleId="28">
    <w:name w:val="toc 2"/>
    <w:next w:val="1"/>
    <w:qFormat/>
    <w:uiPriority w:val="39"/>
    <w:pPr>
      <w:snapToGrid w:val="0"/>
      <w:ind w:left="420" w:leftChars="200"/>
    </w:pPr>
    <w:rPr>
      <w:rFonts w:ascii="Times New Roman" w:hAnsi="Times New Roman" w:eastAsia="楷体_GB2312" w:cs="仿宋_GB2312"/>
      <w:sz w:val="24"/>
      <w:szCs w:val="24"/>
      <w:lang w:val="en-US" w:eastAsia="zh-CN" w:bidi="ar-SA"/>
    </w:rPr>
  </w:style>
  <w:style w:type="paragraph" w:styleId="29">
    <w:name w:val="toc 9"/>
    <w:basedOn w:val="1"/>
    <w:next w:val="1"/>
    <w:uiPriority w:val="39"/>
    <w:pPr>
      <w:ind w:left="3360" w:leftChars="1600"/>
    </w:pPr>
    <w:rPr>
      <w:rFonts w:ascii="Calibri" w:hAnsi="Calibri" w:eastAsia="宋体" w:cs="Times New Roman"/>
    </w:rPr>
  </w:style>
  <w:style w:type="paragraph" w:styleId="30">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paragraph" w:styleId="31">
    <w:name w:val="annotation subject"/>
    <w:basedOn w:val="15"/>
    <w:next w:val="15"/>
    <w:link w:val="57"/>
    <w:qFormat/>
    <w:uiPriority w:val="0"/>
    <w:rPr>
      <w:rFonts w:ascii="Times New Roman" w:hAnsi="Times New Roman" w:eastAsia="宋体" w:cs="Times New Roman"/>
      <w:b/>
      <w:bCs/>
    </w:rPr>
  </w:style>
  <w:style w:type="table" w:styleId="33">
    <w:name w:val="Table Grid"/>
    <w:basedOn w:val="32"/>
    <w:qFormat/>
    <w:uiPriority w:val="39"/>
    <w:rPr>
      <w:rFonts w:ascii="Calibri" w:hAnsi="Calibri" w:eastAsia="宋体" w:cs="Times New Roman"/>
      <w:kern w:val="2"/>
      <w:sz w:val="21"/>
      <w:szCs w:val="22"/>
    </w:rPr>
    <w:tblPr>
      <w:tblStyle w:val="3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FollowedHyperlink"/>
    <w:uiPriority w:val="0"/>
    <w:rPr>
      <w:rFonts w:ascii="Times New Roman" w:hAnsi="Times New Roman" w:eastAsia="宋体" w:cs="Times New Roman"/>
      <w:color w:val="954F72"/>
      <w:u w:val="single"/>
    </w:rPr>
  </w:style>
  <w:style w:type="character" w:styleId="36">
    <w:name w:val="Emphasis"/>
    <w:qFormat/>
    <w:uiPriority w:val="20"/>
    <w:rPr>
      <w:rFonts w:ascii="Times New Roman" w:hAnsi="Times New Roman" w:eastAsia="宋体" w:cs="Times New Roman"/>
      <w:i/>
      <w:iCs/>
    </w:rPr>
  </w:style>
  <w:style w:type="character" w:styleId="37">
    <w:name w:val="Hyperlink"/>
    <w:qFormat/>
    <w:uiPriority w:val="99"/>
    <w:rPr>
      <w:rFonts w:ascii="Times New Roman" w:hAnsi="Times New Roman" w:eastAsia="宋体" w:cs="Times New Roman"/>
      <w:color w:val="0563C1"/>
      <w:u w:val="single"/>
    </w:rPr>
  </w:style>
  <w:style w:type="character" w:styleId="38">
    <w:name w:val="annotation reference"/>
    <w:qFormat/>
    <w:uiPriority w:val="0"/>
    <w:rPr>
      <w:rFonts w:ascii="Times New Roman" w:hAnsi="Times New Roman" w:eastAsia="宋体" w:cs="Times New Roman"/>
      <w:sz w:val="21"/>
      <w:szCs w:val="21"/>
    </w:rPr>
  </w:style>
  <w:style w:type="character" w:styleId="39">
    <w:name w:val="footnote reference"/>
    <w:qFormat/>
    <w:uiPriority w:val="0"/>
    <w:rPr>
      <w:rFonts w:ascii="Times New Roman" w:hAnsi="Times New Roman" w:eastAsia="宋体" w:cs="Times New Roman"/>
      <w:vertAlign w:val="superscript"/>
    </w:rPr>
  </w:style>
  <w:style w:type="character" w:customStyle="1" w:styleId="40">
    <w:name w:val="标题 1 Char1"/>
    <w:link w:val="3"/>
    <w:uiPriority w:val="0"/>
    <w:rPr>
      <w:rFonts w:ascii="Times New Roman" w:hAnsi="Times New Roman" w:eastAsia="黑体"/>
      <w:kern w:val="44"/>
      <w:sz w:val="40"/>
      <w:szCs w:val="40"/>
    </w:rPr>
  </w:style>
  <w:style w:type="character" w:customStyle="1" w:styleId="41">
    <w:name w:val="标题 2 Char1"/>
    <w:link w:val="4"/>
    <w:uiPriority w:val="0"/>
    <w:rPr>
      <w:rFonts w:ascii="Times New Roman" w:hAnsi="Times New Roman" w:eastAsia="黑体" w:cs="Times New Roman"/>
      <w:sz w:val="32"/>
      <w:szCs w:val="32"/>
    </w:rPr>
  </w:style>
  <w:style w:type="character" w:customStyle="1" w:styleId="42">
    <w:name w:val="标题 3 Char1"/>
    <w:link w:val="5"/>
    <w:uiPriority w:val="0"/>
    <w:rPr>
      <w:rFonts w:ascii="Times New Roman" w:hAnsi="Times New Roman" w:eastAsia="黑体" w:cs="Times New Roman"/>
      <w:sz w:val="32"/>
      <w:szCs w:val="30"/>
    </w:rPr>
  </w:style>
  <w:style w:type="character" w:customStyle="1" w:styleId="43">
    <w:name w:val="正文内容-zh 字符"/>
    <w:link w:val="7"/>
    <w:qFormat/>
    <w:uiPriority w:val="0"/>
    <w:rPr>
      <w:rFonts w:ascii="Times New Roman" w:hAnsi="Times New Roman" w:eastAsia="仿宋_GB2312" w:cs="宋体"/>
      <w:color w:val="000000"/>
      <w:sz w:val="30"/>
      <w:szCs w:val="30"/>
    </w:rPr>
  </w:style>
  <w:style w:type="character" w:customStyle="1" w:styleId="44">
    <w:name w:val="标题 4 Char1"/>
    <w:link w:val="6"/>
    <w:uiPriority w:val="0"/>
    <w:rPr>
      <w:rFonts w:ascii="Times New Roman" w:hAnsi="Times New Roman"/>
      <w:color w:val="000000"/>
      <w:sz w:val="30"/>
      <w:szCs w:val="30"/>
    </w:rPr>
  </w:style>
  <w:style w:type="character" w:customStyle="1" w:styleId="45">
    <w:name w:val="标题 5 Char"/>
    <w:link w:val="9"/>
    <w:semiHidden/>
    <w:qFormat/>
    <w:uiPriority w:val="0"/>
    <w:rPr>
      <w:rFonts w:ascii="Times New Roman" w:hAnsi="Times New Roman" w:eastAsia="宋体" w:cs="Times New Roman"/>
      <w:b/>
      <w:kern w:val="2"/>
      <w:sz w:val="28"/>
      <w:szCs w:val="24"/>
    </w:rPr>
  </w:style>
  <w:style w:type="character" w:customStyle="1" w:styleId="46">
    <w:name w:val="标题 6 Char"/>
    <w:link w:val="10"/>
    <w:semiHidden/>
    <w:qFormat/>
    <w:uiPriority w:val="0"/>
    <w:rPr>
      <w:rFonts w:ascii="Arial" w:hAnsi="Arial" w:eastAsia="黑体" w:cs="Times New Roman"/>
      <w:b/>
      <w:kern w:val="2"/>
      <w:sz w:val="24"/>
      <w:szCs w:val="24"/>
    </w:rPr>
  </w:style>
  <w:style w:type="character" w:customStyle="1" w:styleId="47">
    <w:name w:val="标题 7 Char"/>
    <w:link w:val="11"/>
    <w:semiHidden/>
    <w:qFormat/>
    <w:uiPriority w:val="0"/>
    <w:rPr>
      <w:rFonts w:ascii="Times New Roman" w:hAnsi="Times New Roman" w:eastAsia="宋体" w:cs="Times New Roman"/>
      <w:b/>
      <w:kern w:val="2"/>
      <w:sz w:val="24"/>
      <w:szCs w:val="24"/>
    </w:rPr>
  </w:style>
  <w:style w:type="character" w:customStyle="1" w:styleId="48">
    <w:name w:val="标题 8 Char"/>
    <w:link w:val="12"/>
    <w:semiHidden/>
    <w:qFormat/>
    <w:uiPriority w:val="0"/>
    <w:rPr>
      <w:rFonts w:ascii="Arial" w:hAnsi="Arial" w:eastAsia="黑体" w:cs="Times New Roman"/>
      <w:kern w:val="2"/>
      <w:sz w:val="24"/>
      <w:szCs w:val="24"/>
    </w:rPr>
  </w:style>
  <w:style w:type="character" w:customStyle="1" w:styleId="49">
    <w:name w:val="标题 9 Char"/>
    <w:link w:val="13"/>
    <w:semiHidden/>
    <w:qFormat/>
    <w:uiPriority w:val="0"/>
    <w:rPr>
      <w:rFonts w:ascii="Arial" w:hAnsi="Arial" w:eastAsia="黑体" w:cs="Times New Roman"/>
      <w:kern w:val="2"/>
      <w:sz w:val="21"/>
      <w:szCs w:val="24"/>
    </w:rPr>
  </w:style>
  <w:style w:type="character" w:customStyle="1" w:styleId="50">
    <w:name w:val="批注文字 Char1"/>
    <w:link w:val="15"/>
    <w:uiPriority w:val="0"/>
    <w:rPr>
      <w:rFonts w:ascii="Calibri" w:hAnsi="Calibri" w:eastAsia="宋体" w:cs="黑体"/>
    </w:rPr>
  </w:style>
  <w:style w:type="character" w:customStyle="1" w:styleId="51">
    <w:name w:val="正文文本 Char1"/>
    <w:link w:val="16"/>
    <w:uiPriority w:val="0"/>
    <w:rPr>
      <w:rFonts w:ascii="华文细黑" w:hAnsi="华文细黑" w:eastAsia="华文细黑" w:cs="Times New Roman"/>
      <w:color w:val="FF9900"/>
      <w:kern w:val="0"/>
      <w:sz w:val="20"/>
      <w:szCs w:val="24"/>
      <w:lang w:val="zh-CN" w:eastAsia="zh-CN"/>
    </w:rPr>
  </w:style>
  <w:style w:type="character" w:customStyle="1" w:styleId="52">
    <w:name w:val="日期 Char"/>
    <w:link w:val="20"/>
    <w:qFormat/>
    <w:uiPriority w:val="0"/>
    <w:rPr>
      <w:rFonts w:ascii="Times New Roman" w:hAnsi="Times New Roman" w:eastAsia="宋体" w:cs="Times New Roman"/>
      <w:kern w:val="2"/>
      <w:sz w:val="21"/>
      <w:szCs w:val="24"/>
    </w:rPr>
  </w:style>
  <w:style w:type="character" w:customStyle="1" w:styleId="53">
    <w:name w:val="批注框文本 Char1"/>
    <w:link w:val="21"/>
    <w:uiPriority w:val="0"/>
    <w:rPr>
      <w:rFonts w:ascii="Calibri" w:hAnsi="Calibri" w:eastAsia="宋体" w:cs="黑体"/>
      <w:sz w:val="18"/>
      <w:szCs w:val="18"/>
    </w:rPr>
  </w:style>
  <w:style w:type="character" w:customStyle="1" w:styleId="54">
    <w:name w:val="页脚 Char1"/>
    <w:link w:val="22"/>
    <w:uiPriority w:val="0"/>
    <w:rPr>
      <w:rFonts w:ascii="Calibri" w:hAnsi="Calibri" w:eastAsia="宋体" w:cs="黑体"/>
      <w:sz w:val="18"/>
      <w:szCs w:val="18"/>
    </w:rPr>
  </w:style>
  <w:style w:type="character" w:customStyle="1" w:styleId="55">
    <w:name w:val="页眉 Char1"/>
    <w:link w:val="23"/>
    <w:uiPriority w:val="0"/>
    <w:rPr>
      <w:rFonts w:ascii="Calibri" w:hAnsi="Calibri" w:eastAsia="宋体" w:cs="黑体"/>
      <w:sz w:val="18"/>
      <w:szCs w:val="18"/>
    </w:rPr>
  </w:style>
  <w:style w:type="character" w:customStyle="1" w:styleId="56">
    <w:name w:val="脚注文本 Char1"/>
    <w:link w:val="26"/>
    <w:uiPriority w:val="0"/>
    <w:rPr>
      <w:rFonts w:ascii="Times New Roman" w:hAnsi="Times New Roman" w:eastAsia="宋体" w:cs="黑体"/>
      <w:kern w:val="2"/>
      <w:sz w:val="18"/>
      <w:szCs w:val="18"/>
    </w:rPr>
  </w:style>
  <w:style w:type="character" w:customStyle="1" w:styleId="57">
    <w:name w:val="批注主题 Char1"/>
    <w:link w:val="31"/>
    <w:uiPriority w:val="0"/>
    <w:rPr>
      <w:rFonts w:ascii="Calibri" w:hAnsi="Calibri" w:eastAsia="宋体" w:cs="黑体"/>
      <w:b/>
      <w:bCs/>
    </w:rPr>
  </w:style>
  <w:style w:type="character" w:customStyle="1" w:styleId="58">
    <w:name w:val="章节名 字符"/>
    <w:link w:val="59"/>
    <w:uiPriority w:val="0"/>
    <w:rPr>
      <w:rFonts w:ascii="Times New Roman" w:hAnsi="Times New Roman" w:eastAsia="方正小标宋简体" w:cs="黑体"/>
      <w:kern w:val="44"/>
      <w:sz w:val="44"/>
      <w:szCs w:val="44"/>
    </w:rPr>
  </w:style>
  <w:style w:type="paragraph" w:customStyle="1" w:styleId="59">
    <w:name w:val="章节名"/>
    <w:basedOn w:val="4"/>
    <w:link w:val="58"/>
    <w:uiPriority w:val="0"/>
    <w:pPr>
      <w:pageBreakBefore/>
      <w:numPr>
        <w:ilvl w:val="0"/>
        <w:numId w:val="3"/>
      </w:numPr>
    </w:pPr>
    <w:rPr>
      <w:rFonts w:ascii="Times New Roman" w:hAnsi="Times New Roman" w:eastAsia="方正小标宋简体" w:cs="黑体"/>
      <w:kern w:val="44"/>
      <w:sz w:val="44"/>
      <w:szCs w:val="44"/>
    </w:rPr>
  </w:style>
  <w:style w:type="character" w:customStyle="1" w:styleId="60">
    <w:name w:val="表格 字符"/>
    <w:link w:val="61"/>
    <w:uiPriority w:val="0"/>
    <w:rPr>
      <w:rFonts w:ascii="Times New Roman" w:hAnsi="Times New Roman" w:eastAsia="仿宋_GB2312"/>
      <w:color w:val="000000"/>
      <w:sz w:val="24"/>
      <w:szCs w:val="24"/>
    </w:rPr>
  </w:style>
  <w:style w:type="paragraph" w:customStyle="1" w:styleId="61">
    <w:name w:val="表格"/>
    <w:link w:val="60"/>
    <w:qFormat/>
    <w:uiPriority w:val="0"/>
    <w:pPr>
      <w:ind w:firstLine="880" w:firstLineChars="200"/>
      <w:jc w:val="both"/>
    </w:pPr>
    <w:rPr>
      <w:rFonts w:ascii="Times New Roman" w:hAnsi="Times New Roman" w:eastAsia="仿宋_GB2312"/>
      <w:sz w:val="24"/>
      <w:szCs w:val="24"/>
      <w:lang w:val="en-US" w:eastAsia="zh-CN" w:bidi="ar-SA"/>
    </w:rPr>
  </w:style>
  <w:style w:type="character" w:customStyle="1" w:styleId="62">
    <w:name w:val="标题 3 字符"/>
    <w:uiPriority w:val="0"/>
    <w:rPr>
      <w:rFonts w:ascii="Times New Roman" w:hAnsi="Times New Roman" w:eastAsia="楷体" w:cs="黑体"/>
      <w:b/>
      <w:bCs/>
      <w:kern w:val="2"/>
      <w:sz w:val="21"/>
      <w:szCs w:val="32"/>
    </w:rPr>
  </w:style>
  <w:style w:type="character" w:customStyle="1" w:styleId="63">
    <w:name w:val="font11"/>
    <w:uiPriority w:val="0"/>
    <w:rPr>
      <w:rFonts w:hint="default" w:ascii="仿宋_GB2312" w:hAnsi="Times New Roman" w:eastAsia="仿宋_GB2312" w:cs="仿宋_GB2312"/>
      <w:b/>
      <w:bCs/>
      <w:color w:val="000000"/>
      <w:sz w:val="22"/>
      <w:szCs w:val="22"/>
      <w:u w:val="none"/>
    </w:rPr>
  </w:style>
  <w:style w:type="character" w:customStyle="1" w:styleId="64">
    <w:name w:val="节名称1 字符"/>
    <w:link w:val="65"/>
    <w:uiPriority w:val="0"/>
    <w:rPr>
      <w:rFonts w:ascii="宋体" w:hAnsi="Times New Roman"/>
      <w:sz w:val="36"/>
      <w:szCs w:val="36"/>
      <w:lang w:val="zh-CN"/>
    </w:rPr>
  </w:style>
  <w:style w:type="paragraph" w:customStyle="1" w:styleId="65">
    <w:name w:val="节名称1"/>
    <w:basedOn w:val="4"/>
    <w:link w:val="64"/>
    <w:uiPriority w:val="0"/>
    <w:pPr>
      <w:keepLines w:val="0"/>
      <w:numPr>
        <w:ilvl w:val="0"/>
        <w:numId w:val="4"/>
      </w:numPr>
      <w:adjustRightInd w:val="0"/>
      <w:spacing w:before="468" w:beforeLines="150" w:after="468" w:afterLines="150"/>
    </w:pPr>
    <w:rPr>
      <w:rFonts w:ascii="宋体" w:hAnsi="Times New Roman" w:eastAsia="宋体" w:cs="Times New Roman"/>
      <w:kern w:val="0"/>
      <w:sz w:val="36"/>
      <w:szCs w:val="36"/>
      <w:lang w:val="zh-CN"/>
    </w:rPr>
  </w:style>
  <w:style w:type="character" w:customStyle="1" w:styleId="66">
    <w:name w:val="font21"/>
    <w:uiPriority w:val="0"/>
    <w:rPr>
      <w:rFonts w:hint="default" w:ascii="Calibri" w:hAnsi="Calibri" w:eastAsia="宋体" w:cs="Calibri"/>
      <w:color w:val="000000"/>
      <w:sz w:val="22"/>
      <w:szCs w:val="22"/>
      <w:u w:val="none"/>
    </w:rPr>
  </w:style>
  <w:style w:type="character" w:customStyle="1" w:styleId="67">
    <w:name w:val="脚注文本 Char"/>
    <w:qFormat/>
    <w:uiPriority w:val="0"/>
    <w:rPr>
      <w:rFonts w:ascii="Times New Roman" w:hAnsi="Times New Roman" w:eastAsia="宋体" w:cs="黑体"/>
      <w:kern w:val="2"/>
      <w:sz w:val="18"/>
      <w:szCs w:val="18"/>
    </w:rPr>
  </w:style>
  <w:style w:type="character" w:customStyle="1" w:styleId="68">
    <w:name w:val="font31"/>
    <w:uiPriority w:val="0"/>
    <w:rPr>
      <w:rFonts w:hint="default" w:ascii="仿宋_GB2312" w:hAnsi="Times New Roman" w:eastAsia="仿宋_GB2312" w:cs="仿宋_GB2312"/>
      <w:color w:val="000000"/>
      <w:sz w:val="22"/>
      <w:szCs w:val="22"/>
      <w:u w:val="none"/>
    </w:rPr>
  </w:style>
  <w:style w:type="character" w:customStyle="1" w:styleId="69">
    <w:name w:val="脚注文本 字符"/>
    <w:uiPriority w:val="0"/>
    <w:rPr>
      <w:rFonts w:ascii="Times New Roman" w:hAnsi="Times New Roman" w:eastAsia="宋体" w:cs="黑体"/>
      <w:kern w:val="2"/>
      <w:sz w:val="18"/>
      <w:szCs w:val="18"/>
    </w:rPr>
  </w:style>
  <w:style w:type="character" w:customStyle="1" w:styleId="70">
    <w:name w:val="标题 1 Char"/>
    <w:qFormat/>
    <w:uiPriority w:val="0"/>
    <w:rPr>
      <w:rFonts w:ascii="Times New Roman" w:hAnsi="Times New Roman" w:eastAsia="宋体" w:cs="黑体"/>
      <w:b/>
      <w:bCs/>
      <w:kern w:val="44"/>
      <w:sz w:val="44"/>
      <w:szCs w:val="44"/>
    </w:rPr>
  </w:style>
  <w:style w:type="character" w:customStyle="1" w:styleId="71">
    <w:name w:val="批注框文本 Char"/>
    <w:qFormat/>
    <w:uiPriority w:val="0"/>
    <w:rPr>
      <w:rFonts w:ascii="Times New Roman" w:hAnsi="Times New Roman" w:eastAsia="宋体" w:cs="黑体"/>
      <w:kern w:val="2"/>
      <w:sz w:val="18"/>
      <w:szCs w:val="18"/>
    </w:rPr>
  </w:style>
  <w:style w:type="character" w:customStyle="1" w:styleId="72">
    <w:name w:val="强制内容 字符"/>
    <w:link w:val="73"/>
    <w:uiPriority w:val="0"/>
    <w:rPr>
      <w:rFonts w:ascii="黑体" w:hAnsi="黑体" w:eastAsia="黑体" w:cs="Times New Roman"/>
      <w:kern w:val="2"/>
      <w:sz w:val="28"/>
      <w:szCs w:val="28"/>
    </w:rPr>
  </w:style>
  <w:style w:type="paragraph" w:customStyle="1" w:styleId="73">
    <w:name w:val="强制内容"/>
    <w:basedOn w:val="7"/>
    <w:link w:val="72"/>
    <w:uiPriority w:val="0"/>
    <w:rPr>
      <w:rFonts w:ascii="黑体" w:hAnsi="黑体" w:eastAsia="黑体" w:cs="Times New Roman"/>
    </w:rPr>
  </w:style>
  <w:style w:type="character" w:customStyle="1" w:styleId="74">
    <w:name w:val="批注主题 Char"/>
    <w:qFormat/>
    <w:uiPriority w:val="0"/>
    <w:rPr>
      <w:rFonts w:ascii="Calibri" w:hAnsi="Calibri" w:eastAsia="宋体" w:cs="黑体"/>
      <w:b/>
      <w:bCs/>
      <w:kern w:val="2"/>
      <w:sz w:val="21"/>
      <w:szCs w:val="22"/>
    </w:rPr>
  </w:style>
  <w:style w:type="character" w:customStyle="1" w:styleId="75">
    <w:name w:val="页眉 Char"/>
    <w:qFormat/>
    <w:uiPriority w:val="0"/>
    <w:rPr>
      <w:rFonts w:ascii="Times New Roman" w:hAnsi="Times New Roman" w:eastAsia="仿宋" w:cs="Times New Roman"/>
      <w:sz w:val="18"/>
      <w:szCs w:val="18"/>
    </w:rPr>
  </w:style>
  <w:style w:type="character" w:customStyle="1" w:styleId="76">
    <w:name w:val="批注文字 字符"/>
    <w:uiPriority w:val="0"/>
    <w:rPr>
      <w:rFonts w:ascii="Calibri" w:hAnsi="Calibri" w:eastAsia="宋体" w:cs="黑体"/>
    </w:rPr>
  </w:style>
  <w:style w:type="character" w:customStyle="1" w:styleId="77">
    <w:name w:val="标题 3 Char"/>
    <w:qFormat/>
    <w:uiPriority w:val="0"/>
    <w:rPr>
      <w:rFonts w:ascii="Times New Roman" w:hAnsi="Times New Roman" w:eastAsia="宋体" w:cs="黑体"/>
      <w:b/>
      <w:bCs/>
      <w:kern w:val="2"/>
      <w:sz w:val="32"/>
      <w:szCs w:val="32"/>
    </w:rPr>
  </w:style>
  <w:style w:type="character" w:customStyle="1" w:styleId="78">
    <w:name w:val="font61"/>
    <w:uiPriority w:val="0"/>
    <w:rPr>
      <w:rFonts w:ascii="微软雅黑" w:hAnsi="微软雅黑" w:eastAsia="微软雅黑" w:cs="微软雅黑"/>
      <w:color w:val="000000"/>
      <w:sz w:val="22"/>
      <w:szCs w:val="22"/>
      <w:u w:val="none"/>
    </w:rPr>
  </w:style>
  <w:style w:type="character" w:customStyle="1" w:styleId="79">
    <w:name w:val="批注文字 Char"/>
    <w:qFormat/>
    <w:uiPriority w:val="0"/>
    <w:rPr>
      <w:rFonts w:ascii="Calibri" w:hAnsi="Calibri" w:eastAsia="宋体" w:cs="黑体"/>
    </w:rPr>
  </w:style>
  <w:style w:type="character" w:customStyle="1" w:styleId="80">
    <w:name w:val="节名称 字符"/>
    <w:link w:val="81"/>
    <w:qFormat/>
    <w:uiPriority w:val="0"/>
    <w:rPr>
      <w:rFonts w:ascii="Times New Roman" w:hAnsi="Times New Roman" w:eastAsia="黑体"/>
      <w:kern w:val="2"/>
      <w:sz w:val="32"/>
      <w:szCs w:val="32"/>
    </w:rPr>
  </w:style>
  <w:style w:type="paragraph" w:customStyle="1" w:styleId="81">
    <w:name w:val="节名称"/>
    <w:basedOn w:val="4"/>
    <w:link w:val="80"/>
    <w:qFormat/>
    <w:uiPriority w:val="0"/>
    <w:pPr>
      <w:numPr>
        <w:ilvl w:val="1"/>
        <w:numId w:val="1"/>
      </w:numPr>
    </w:pPr>
  </w:style>
  <w:style w:type="character" w:customStyle="1" w:styleId="82">
    <w:name w:val="样式2 Char"/>
    <w:link w:val="83"/>
    <w:uiPriority w:val="0"/>
    <w:rPr>
      <w:rFonts w:eastAsia="仿宋_GB2312" w:cs="Times New Roman"/>
      <w:b/>
      <w:sz w:val="28"/>
      <w:szCs w:val="24"/>
    </w:rPr>
  </w:style>
  <w:style w:type="paragraph" w:customStyle="1" w:styleId="83">
    <w:name w:val="附表标题"/>
    <w:basedOn w:val="1"/>
    <w:link w:val="82"/>
    <w:uiPriority w:val="0"/>
    <w:pPr>
      <w:widowControl/>
      <w:adjustRightInd w:val="0"/>
      <w:snapToGrid w:val="0"/>
      <w:ind w:firstLine="0" w:firstLineChars="0"/>
      <w:jc w:val="center"/>
      <w:outlineLvl w:val="1"/>
    </w:pPr>
    <w:rPr>
      <w:rFonts w:cs="Times New Roman"/>
      <w:b/>
      <w:sz w:val="28"/>
      <w:szCs w:val="24"/>
    </w:rPr>
  </w:style>
  <w:style w:type="character" w:customStyle="1" w:styleId="84">
    <w:name w:val="条名称 字符"/>
    <w:link w:val="85"/>
    <w:qFormat/>
    <w:uiPriority w:val="0"/>
    <w:rPr>
      <w:rFonts w:ascii="Times New Roman" w:hAnsi="Times New Roman" w:eastAsia="黑体"/>
      <w:kern w:val="2"/>
      <w:sz w:val="30"/>
      <w:szCs w:val="30"/>
      <w:lang w:val="zh-CN"/>
    </w:rPr>
  </w:style>
  <w:style w:type="paragraph" w:customStyle="1" w:styleId="85">
    <w:name w:val="条名称"/>
    <w:basedOn w:val="5"/>
    <w:next w:val="1"/>
    <w:link w:val="84"/>
    <w:qFormat/>
    <w:uiPriority w:val="0"/>
    <w:pPr>
      <w:numPr>
        <w:ilvl w:val="2"/>
        <w:numId w:val="1"/>
      </w:numPr>
    </w:pPr>
    <w:rPr>
      <w:lang w:val="zh-CN"/>
    </w:rPr>
  </w:style>
  <w:style w:type="character" w:customStyle="1" w:styleId="86">
    <w:name w:val="未处理的提及"/>
    <w:uiPriority w:val="99"/>
    <w:rPr>
      <w:rFonts w:ascii="Times New Roman" w:hAnsi="Times New Roman" w:eastAsia="宋体" w:cs="Times New Roman"/>
      <w:color w:val="605E5C"/>
      <w:shd w:val="clear" w:color="auto" w:fill="E1DFDD"/>
    </w:rPr>
  </w:style>
  <w:style w:type="character" w:customStyle="1" w:styleId="87">
    <w:name w:val="批注框文本 字符"/>
    <w:uiPriority w:val="0"/>
    <w:rPr>
      <w:rFonts w:ascii="Calibri" w:hAnsi="Calibri" w:eastAsia="宋体" w:cs="黑体"/>
      <w:sz w:val="18"/>
      <w:szCs w:val="18"/>
    </w:rPr>
  </w:style>
  <w:style w:type="character" w:customStyle="1" w:styleId="88">
    <w:name w:val="标题 2 Char"/>
    <w:qFormat/>
    <w:uiPriority w:val="9"/>
    <w:rPr>
      <w:rFonts w:ascii="Calibri Light" w:hAnsi="Calibri Light" w:eastAsia="宋体" w:cs="Times New Roman"/>
      <w:b/>
      <w:bCs/>
      <w:kern w:val="2"/>
      <w:sz w:val="32"/>
      <w:szCs w:val="32"/>
    </w:rPr>
  </w:style>
  <w:style w:type="character" w:customStyle="1" w:styleId="89">
    <w:name w:val="表格-zh"/>
    <w:qFormat/>
    <w:uiPriority w:val="0"/>
    <w:rPr>
      <w:rFonts w:ascii="华文细黑" w:hAnsi="Courier New" w:eastAsia="华文细黑"/>
      <w:kern w:val="2"/>
      <w:sz w:val="21"/>
      <w:szCs w:val="21"/>
    </w:rPr>
  </w:style>
  <w:style w:type="character" w:customStyle="1" w:styleId="90">
    <w:name w:val="font51"/>
    <w:uiPriority w:val="0"/>
    <w:rPr>
      <w:rFonts w:hint="default" w:ascii="仿宋_GB2312" w:hAnsi="Times New Roman" w:eastAsia="仿宋_GB2312" w:cs="仿宋_GB2312"/>
      <w:color w:val="000000"/>
      <w:sz w:val="22"/>
      <w:szCs w:val="22"/>
      <w:u w:val="none"/>
    </w:rPr>
  </w:style>
  <w:style w:type="character" w:customStyle="1" w:styleId="91">
    <w:name w:val="样式1 字符"/>
    <w:link w:val="92"/>
    <w:uiPriority w:val="0"/>
    <w:rPr>
      <w:rFonts w:ascii="仿宋_GB2312" w:hAnsi="等线" w:eastAsia="仿宋" w:cs="黑体"/>
      <w:b/>
      <w:kern w:val="2"/>
      <w:sz w:val="32"/>
      <w:szCs w:val="31"/>
      <w:lang w:val="zh-CN"/>
    </w:rPr>
  </w:style>
  <w:style w:type="paragraph" w:customStyle="1" w:styleId="92">
    <w:name w:val="样式1"/>
    <w:basedOn w:val="5"/>
    <w:next w:val="1"/>
    <w:link w:val="91"/>
    <w:qFormat/>
    <w:uiPriority w:val="0"/>
    <w:pPr>
      <w:spacing w:before="312" w:beforeLines="100" w:after="156" w:afterLines="50" w:line="240" w:lineRule="auto"/>
      <w:jc w:val="left"/>
    </w:pPr>
    <w:rPr>
      <w:rFonts w:ascii="仿宋_GB2312" w:hAnsi="等线" w:eastAsia="仿宋" w:cs="Times New Roman"/>
      <w:sz w:val="32"/>
      <w:szCs w:val="31"/>
      <w:lang w:val="zh-CN"/>
    </w:rPr>
  </w:style>
  <w:style w:type="character" w:customStyle="1" w:styleId="93">
    <w:name w:val="cf01"/>
    <w:uiPriority w:val="0"/>
    <w:rPr>
      <w:rFonts w:hint="eastAsia" w:ascii="Microsoft YaHei UI" w:hAnsi="Microsoft YaHei UI" w:eastAsia="Microsoft YaHei UI" w:cs="Times New Roman"/>
      <w:sz w:val="18"/>
      <w:szCs w:val="18"/>
    </w:rPr>
  </w:style>
  <w:style w:type="character" w:customStyle="1" w:styleId="94">
    <w:name w:val="标题 4 Char"/>
    <w:qFormat/>
    <w:uiPriority w:val="0"/>
    <w:rPr>
      <w:rFonts w:ascii="Calibri Light" w:hAnsi="Calibri Light" w:eastAsia="宋体" w:cs="Times New Roman"/>
      <w:b/>
      <w:bCs/>
      <w:kern w:val="2"/>
      <w:sz w:val="28"/>
      <w:szCs w:val="28"/>
    </w:rPr>
  </w:style>
  <w:style w:type="character" w:customStyle="1" w:styleId="95">
    <w:name w:val="正文文本 Char"/>
    <w:uiPriority w:val="0"/>
    <w:rPr>
      <w:rFonts w:ascii="Times New Roman" w:hAnsi="Times New Roman" w:eastAsia="宋体" w:cs="黑体"/>
      <w:kern w:val="2"/>
      <w:sz w:val="21"/>
      <w:szCs w:val="22"/>
    </w:rPr>
  </w:style>
  <w:style w:type="character" w:customStyle="1" w:styleId="96">
    <w:name w:val="font41"/>
    <w:uiPriority w:val="0"/>
    <w:rPr>
      <w:rFonts w:hint="default" w:ascii="Calibri" w:hAnsi="Calibri" w:eastAsia="宋体" w:cs="Calibri"/>
      <w:color w:val="000000"/>
      <w:sz w:val="22"/>
      <w:szCs w:val="22"/>
      <w:u w:val="none"/>
    </w:rPr>
  </w:style>
  <w:style w:type="character" w:customStyle="1" w:styleId="97">
    <w:name w:val="前言 字符"/>
    <w:link w:val="98"/>
    <w:uiPriority w:val="0"/>
    <w:rPr>
      <w:rFonts w:ascii="Times New Roman" w:hAnsi="Times New Roman" w:eastAsia="方正小标宋简体" w:cs="黑体"/>
      <w:b/>
      <w:bCs/>
      <w:kern w:val="44"/>
      <w:sz w:val="44"/>
      <w:szCs w:val="44"/>
    </w:rPr>
  </w:style>
  <w:style w:type="paragraph" w:customStyle="1" w:styleId="98">
    <w:name w:val="前言"/>
    <w:basedOn w:val="3"/>
    <w:link w:val="97"/>
    <w:qFormat/>
    <w:uiPriority w:val="0"/>
    <w:pPr>
      <w:numPr>
        <w:ilvl w:val="0"/>
        <w:numId w:val="0"/>
      </w:numPr>
    </w:pPr>
  </w:style>
  <w:style w:type="character" w:customStyle="1" w:styleId="99">
    <w:name w:val="Unresolved Mention"/>
    <w:uiPriority w:val="0"/>
    <w:rPr>
      <w:rFonts w:ascii="Times New Roman" w:hAnsi="Times New Roman" w:eastAsia="宋体" w:cs="Times New Roman"/>
      <w:color w:val="605E5C"/>
      <w:shd w:val="clear" w:color="auto" w:fill="E1DFDD"/>
    </w:rPr>
  </w:style>
  <w:style w:type="character" w:customStyle="1" w:styleId="100">
    <w:name w:val="页脚 Char"/>
    <w:qFormat/>
    <w:uiPriority w:val="0"/>
    <w:rPr>
      <w:rFonts w:ascii="Times New Roman" w:hAnsi="Times New Roman" w:eastAsia="仿宋" w:cs="Times New Roman"/>
      <w:sz w:val="18"/>
      <w:szCs w:val="18"/>
    </w:rPr>
  </w:style>
  <w:style w:type="paragraph" w:customStyle="1" w:styleId="101">
    <w:name w:val="段"/>
    <w:unhideWhenUsed/>
    <w:qFormat/>
    <w:uiPriority w:val="0"/>
    <w:pPr>
      <w:autoSpaceDE w:val="0"/>
      <w:autoSpaceDN w:val="0"/>
      <w:ind w:firstLine="200" w:firstLineChars="200"/>
      <w:jc w:val="both"/>
    </w:pPr>
    <w:rPr>
      <w:rFonts w:hint="eastAsia" w:ascii="宋体" w:hAnsi="Times New Roman"/>
      <w:sz w:val="21"/>
      <w:szCs w:val="24"/>
      <w:lang w:val="en-US" w:eastAsia="zh-CN" w:bidi="ar-SA"/>
    </w:rPr>
  </w:style>
  <w:style w:type="paragraph" w:customStyle="1" w:styleId="102">
    <w:name w:val="TOC Heading"/>
    <w:basedOn w:val="3"/>
    <w:next w:val="1"/>
    <w:uiPriority w:val="0"/>
    <w:pPr>
      <w:spacing w:before="240" w:after="0" w:line="259" w:lineRule="auto"/>
      <w:jc w:val="left"/>
      <w:outlineLvl w:val="9"/>
    </w:pPr>
    <w:rPr>
      <w:rFonts w:ascii="Calibri Light" w:hAnsi="Calibri Light" w:eastAsia="宋体" w:cs="Times New Roman"/>
      <w:color w:val="2E75B5"/>
      <w:kern w:val="0"/>
      <w:sz w:val="32"/>
      <w:szCs w:val="32"/>
    </w:rPr>
  </w:style>
  <w:style w:type="paragraph" w:customStyle="1" w:styleId="103">
    <w:name w:val="正文汉字"/>
    <w:basedOn w:val="1"/>
    <w:qFormat/>
    <w:uiPriority w:val="0"/>
    <w:pPr>
      <w:numPr>
        <w:ilvl w:val="0"/>
        <w:numId w:val="5"/>
      </w:numPr>
      <w:ind w:left="0" w:firstLine="1040"/>
    </w:pPr>
    <w:rPr>
      <w:rFonts w:ascii="Times New Roman" w:hAnsi="Times New Roman" w:eastAsia="仿宋_GB2312"/>
    </w:rPr>
  </w:style>
  <w:style w:type="paragraph" w:styleId="104">
    <w:name w:val=""/>
    <w:basedOn w:val="3"/>
    <w:next w:val="1"/>
    <w:qFormat/>
    <w:uiPriority w:val="39"/>
    <w:pPr>
      <w:widowControl/>
      <w:numPr>
        <w:ilvl w:val="0"/>
        <w:numId w:val="0"/>
      </w:numPr>
      <w:spacing w:before="240" w:after="0" w:line="259" w:lineRule="auto"/>
      <w:jc w:val="left"/>
      <w:outlineLvl w:val="9"/>
    </w:pPr>
    <w:rPr>
      <w:rFonts w:ascii="等线 Light" w:hAnsi="等线 Light" w:eastAsia="等线 Light" w:cs="Times New Roman"/>
      <w:b/>
      <w:bCs/>
      <w:color w:val="2F5496"/>
      <w:kern w:val="0"/>
      <w:sz w:val="32"/>
      <w:szCs w:val="32"/>
    </w:rPr>
  </w:style>
  <w:style w:type="paragraph" w:customStyle="1" w:styleId="105">
    <w:name w:val="修订111"/>
    <w:qFormat/>
    <w:uiPriority w:val="99"/>
    <w:rPr>
      <w:kern w:val="2"/>
      <w:sz w:val="21"/>
      <w:szCs w:val="24"/>
      <w:lang w:val="en-US" w:eastAsia="zh-CN" w:bidi="ar-SA"/>
    </w:rPr>
  </w:style>
  <w:style w:type="paragraph" w:customStyle="1" w:styleId="106">
    <w:name w:val="修订4"/>
    <w:unhideWhenUsed/>
    <w:qFormat/>
    <w:uiPriority w:val="99"/>
    <w:rPr>
      <w:kern w:val="2"/>
      <w:sz w:val="21"/>
      <w:szCs w:val="24"/>
      <w:lang w:val="en-US" w:eastAsia="zh-CN" w:bidi="ar-SA"/>
    </w:rPr>
  </w:style>
  <w:style w:type="paragraph" w:customStyle="1" w:styleId="107">
    <w:name w:val="修订5"/>
    <w:unhideWhenUsed/>
    <w:qFormat/>
    <w:uiPriority w:val="99"/>
    <w:rPr>
      <w:kern w:val="2"/>
      <w:sz w:val="21"/>
      <w:szCs w:val="24"/>
      <w:lang w:val="en-US" w:eastAsia="zh-CN" w:bidi="ar-SA"/>
    </w:rPr>
  </w:style>
  <w:style w:type="paragraph" w:customStyle="1" w:styleId="108">
    <w:name w:val="省厅要求正文格式"/>
    <w:basedOn w:val="1"/>
    <w:qFormat/>
    <w:uiPriority w:val="0"/>
    <w:pPr>
      <w:ind w:firstLine="200" w:firstLineChars="200"/>
    </w:pPr>
    <w:rPr>
      <w:rFonts w:ascii="Times New Roman" w:hAnsi="Times New Roman" w:eastAsia="仿宋_GB2312" w:cs="Times New Roman"/>
      <w:sz w:val="30"/>
      <w:szCs w:val="30"/>
      <w:shd w:val="clear" w:color="auto" w:fill="FFFFFF"/>
    </w:rPr>
  </w:style>
  <w:style w:type="paragraph" w:customStyle="1" w:styleId="109">
    <w:name w:val="修订2"/>
    <w:semiHidden/>
    <w:qFormat/>
    <w:uiPriority w:val="99"/>
    <w:rPr>
      <w:kern w:val="2"/>
      <w:sz w:val="21"/>
      <w:szCs w:val="24"/>
      <w:lang w:val="en-US" w:eastAsia="zh-CN" w:bidi="ar-SA"/>
    </w:rPr>
  </w:style>
  <w:style w:type="paragraph" w:customStyle="1" w:styleId="110">
    <w:name w:val="附录表标题"/>
    <w:next w:val="101"/>
    <w:unhideWhenUsed/>
    <w:qFormat/>
    <w:uiPriority w:val="0"/>
    <w:pPr>
      <w:numPr>
        <w:ilvl w:val="0"/>
        <w:numId w:val="6"/>
      </w:numPr>
      <w:jc w:val="center"/>
      <w:textAlignment w:val="baseline"/>
    </w:pPr>
    <w:rPr>
      <w:rFonts w:hint="eastAsia" w:ascii="黑体" w:hAnsi="Times New Roman" w:eastAsia="黑体"/>
      <w:kern w:val="21"/>
      <w:sz w:val="21"/>
      <w:szCs w:val="24"/>
      <w:lang w:val="en-US" w:eastAsia="zh-CN" w:bidi="ar-SA"/>
    </w:rPr>
  </w:style>
  <w:style w:type="paragraph" w:styleId="111">
    <w:name w:val="List Paragraph"/>
    <w:basedOn w:val="1"/>
    <w:qFormat/>
    <w:uiPriority w:val="34"/>
    <w:pPr>
      <w:ind w:firstLine="420" w:firstLineChars="200"/>
    </w:pPr>
    <w:rPr>
      <w:rFonts w:ascii="Times New Roman" w:hAnsi="Times New Roman" w:eastAsia="宋体" w:cs="Times New Roman"/>
    </w:rPr>
  </w:style>
  <w:style w:type="paragraph" w:customStyle="1" w:styleId="112">
    <w:name w:val="修订3"/>
    <w:unhideWhenUsed/>
    <w:qFormat/>
    <w:uiPriority w:val="99"/>
    <w:rPr>
      <w:kern w:val="2"/>
      <w:sz w:val="21"/>
      <w:szCs w:val="24"/>
      <w:lang w:val="en-US" w:eastAsia="zh-CN" w:bidi="ar-SA"/>
    </w:rPr>
  </w:style>
  <w:style w:type="paragraph" w:customStyle="1" w:styleId="113">
    <w:name w:val="修订6"/>
    <w:unhideWhenUsed/>
    <w:qFormat/>
    <w:uiPriority w:val="99"/>
    <w:rPr>
      <w:kern w:val="2"/>
      <w:sz w:val="21"/>
      <w:szCs w:val="24"/>
      <w:lang w:val="en-US" w:eastAsia="zh-CN" w:bidi="ar-SA"/>
    </w:rPr>
  </w:style>
  <w:style w:type="paragraph" w:customStyle="1" w:styleId="114">
    <w:name w:val="_Style 32"/>
    <w:basedOn w:val="1"/>
    <w:next w:val="1"/>
    <w:uiPriority w:val="0"/>
    <w:pPr>
      <w:ind w:left="2100" w:leftChars="1000"/>
    </w:pPr>
    <w:rPr>
      <w:rFonts w:ascii="Calibri" w:hAnsi="Calibri" w:eastAsia="宋体" w:cs="Times New Roman"/>
    </w:rPr>
  </w:style>
  <w:style w:type="paragraph" w:customStyle="1" w:styleId="115">
    <w:name w:val="附注"/>
    <w:next w:val="1"/>
    <w:uiPriority w:val="0"/>
    <w:pPr>
      <w:tabs>
        <w:tab w:val="left" w:pos="5897"/>
      </w:tabs>
      <w:snapToGrid w:val="0"/>
      <w:ind w:firstLine="880" w:firstLineChars="200"/>
      <w:jc w:val="both"/>
    </w:pPr>
    <w:rPr>
      <w:rFonts w:hint="eastAsia" w:ascii="Times New Roman" w:hAnsi="Times New Roman" w:eastAsia="仿宋_GB2312"/>
      <w:sz w:val="21"/>
      <w:szCs w:val="18"/>
      <w:lang w:val="en-US" w:eastAsia="zh-CN" w:bidi="ar-SA"/>
    </w:rPr>
  </w:style>
  <w:style w:type="paragraph" w:customStyle="1" w:styleId="116">
    <w:name w:val="修订1"/>
    <w:unhideWhenUsed/>
    <w:qFormat/>
    <w:uiPriority w:val="99"/>
    <w:rPr>
      <w:kern w:val="2"/>
      <w:sz w:val="21"/>
      <w:szCs w:val="24"/>
      <w:lang w:val="en-US" w:eastAsia="zh-CN" w:bidi="ar-SA"/>
    </w:rPr>
  </w:style>
  <w:style w:type="paragraph" w:customStyle="1" w:styleId="117">
    <w:name w:val="Revision"/>
    <w:uiPriority w:val="0"/>
    <w:rPr>
      <w:rFonts w:cs="黑体"/>
      <w:kern w:val="2"/>
      <w:sz w:val="21"/>
      <w:szCs w:val="22"/>
      <w:lang w:val="en-US" w:eastAsia="zh-CN" w:bidi="ar-SA"/>
    </w:rPr>
  </w:style>
  <w:style w:type="paragraph" w:styleId="118">
    <w:name w:val=""/>
    <w:uiPriority w:val="99"/>
    <w:rPr>
      <w:rFonts w:cs="黑体"/>
      <w:kern w:val="2"/>
      <w:sz w:val="21"/>
      <w:szCs w:val="22"/>
      <w:lang w:val="en-US" w:eastAsia="zh-CN" w:bidi="ar-SA"/>
    </w:rPr>
  </w:style>
  <w:style w:type="paragraph" w:customStyle="1" w:styleId="119">
    <w:name w:val="修订11"/>
    <w:semiHidden/>
    <w:qFormat/>
    <w:uiPriority w:val="99"/>
    <w:rPr>
      <w:kern w:val="2"/>
      <w:sz w:val="21"/>
      <w:szCs w:val="24"/>
      <w:lang w:val="en-US" w:eastAsia="zh-CN" w:bidi="ar-SA"/>
    </w:rPr>
  </w:style>
  <w:style w:type="paragraph" w:customStyle="1" w:styleId="120">
    <w:name w:val="Default"/>
    <w:qFormat/>
    <w:uiPriority w:val="0"/>
    <w:pPr>
      <w:widowControl w:val="0"/>
      <w:autoSpaceDE w:val="0"/>
      <w:autoSpaceDN w:val="0"/>
      <w:adjustRightInd w:val="0"/>
      <w:ind w:firstLine="200" w:firstLineChars="200"/>
    </w:pPr>
    <w:rPr>
      <w:rFonts w:ascii="宋体" w:eastAsia="仿宋" w:cs="宋体"/>
      <w:color w:val="000000"/>
      <w:sz w:val="28"/>
      <w:szCs w:val="24"/>
      <w:lang w:val="en-US" w:eastAsia="zh-CN" w:bidi="ar-SA"/>
    </w:rPr>
  </w:style>
  <w:style w:type="table" w:customStyle="1" w:styleId="121">
    <w:name w:val="网格型3"/>
    <w:basedOn w:val="32"/>
    <w:uiPriority w:val="39"/>
    <w:rPr>
      <w:rFonts w:ascii="等线" w:hAnsi="等线" w:eastAsia="等线" w:cs="Times New Roman"/>
      <w:kern w:val="2"/>
      <w:sz w:val="21"/>
      <w:szCs w:val="22"/>
    </w:rPr>
    <w:tblPr>
      <w:tblStyle w:val="3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
    <w:name w:val="网格型41"/>
    <w:basedOn w:val="32"/>
    <w:uiPriority w:val="39"/>
    <w:rPr>
      <w:rFonts w:ascii="Calibri" w:hAnsi="Calibri"/>
      <w:kern w:val="2"/>
      <w:sz w:val="21"/>
      <w:szCs w:val="22"/>
    </w:rPr>
    <w:tblPr>
      <w:tblStyle w:val="3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
    <w:name w:val="网格型51"/>
    <w:basedOn w:val="32"/>
    <w:uiPriority w:val="39"/>
    <w:rPr>
      <w:rFonts w:ascii="Calibri" w:hAnsi="Calibri"/>
      <w:kern w:val="2"/>
      <w:sz w:val="21"/>
      <w:szCs w:val="22"/>
    </w:rPr>
    <w:tblPr>
      <w:tblStyle w:val="3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
    <w:name w:val="网格型21"/>
    <w:basedOn w:val="32"/>
    <w:uiPriority w:val="39"/>
    <w:rPr>
      <w:rFonts w:ascii="等线" w:hAnsi="等线" w:eastAsia="等线"/>
      <w:kern w:val="2"/>
      <w:sz w:val="21"/>
      <w:szCs w:val="22"/>
    </w:rPr>
    <w:tblPr>
      <w:tblStyle w:val="3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
    <w:name w:val="网格型11"/>
    <w:basedOn w:val="32"/>
    <w:qFormat/>
    <w:uiPriority w:val="39"/>
    <w:rPr>
      <w:rFonts w:ascii="等线" w:hAnsi="等线" w:eastAsia="等线"/>
      <w:kern w:val="2"/>
      <w:sz w:val="21"/>
      <w:szCs w:val="22"/>
    </w:rPr>
    <w:tblPr>
      <w:tblStyle w:val="3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
    <w:name w:val="网格型6"/>
    <w:basedOn w:val="32"/>
    <w:qFormat/>
    <w:uiPriority w:val="39"/>
    <w:rPr>
      <w:rFonts w:ascii="Calibri" w:hAnsi="Calibri"/>
      <w:kern w:val="2"/>
      <w:sz w:val="21"/>
      <w:szCs w:val="22"/>
    </w:rPr>
    <w:tblPr>
      <w:tblStyle w:val="3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
    <w:name w:val="论文"/>
    <w:basedOn w:val="32"/>
    <w:qFormat/>
    <w:uiPriority w:val="99"/>
    <w:tblPr>
      <w:tblStyle w:val="32"/>
      <w:jc w:val="center"/>
      <w:tblBorders>
        <w:top w:val="single" w:color="auto" w:sz="8" w:space="0"/>
        <w:bottom w:val="single" w:color="auto" w:sz="8" w:space="0"/>
        <w:insideH w:val="single" w:color="auto" w:sz="4" w:space="0"/>
      </w:tblBorders>
    </w:tblPr>
    <w:trPr>
      <w:jc w:val="center"/>
    </w:trPr>
    <w:tcPr>
      <w:vAlign w:val="center"/>
    </w:tcPr>
    <w:tblStylePr w:type="firstRow">
      <w:pPr>
        <w:wordWrap/>
        <w:spacing w:line="240" w:lineRule="auto"/>
        <w:ind w:firstLine="0" w:firstLineChars="0"/>
      </w:pPr>
      <w:rPr>
        <w:rFonts w:ascii="宋体" w:hAnsi="宋体" w:eastAsia="Arial"/>
        <w:b w:val="0"/>
        <w:i w:val="0"/>
        <w:sz w:val="21"/>
      </w:rPr>
      <w:tblPr>
        <w:tblStyle w:val="32"/>
      </w:tblPr>
      <w:tcPr>
        <w:tcBorders>
          <w:top w:val="single" w:color="auto" w:sz="8" w:space="0"/>
          <w:left w:val="single" w:color="auto" w:sz="8" w:space="0"/>
          <w:bottom w:val="nil"/>
          <w:right w:val="nil"/>
          <w:insideH w:val="nil"/>
          <w:insideV w:val="nil"/>
          <w:tl2br w:val="nil"/>
          <w:tr2bl w:val="nil"/>
        </w:tcBorders>
      </w:tcPr>
    </w:tblStylePr>
    <w:tblStylePr w:type="lastRow">
      <w:rPr>
        <w:rFonts w:ascii="宋体" w:hAnsi="宋体" w:eastAsia="Arial"/>
        <w:b w:val="0"/>
        <w:i w:val="0"/>
        <w:sz w:val="21"/>
      </w:rPr>
    </w:tblStylePr>
  </w:style>
  <w:style w:type="table" w:customStyle="1" w:styleId="128">
    <w:name w:val="网格型2"/>
    <w:basedOn w:val="32"/>
    <w:uiPriority w:val="39"/>
    <w:rPr>
      <w:rFonts w:ascii="等线" w:hAnsi="等线" w:eastAsia="等线" w:cs="Times New Roman"/>
      <w:kern w:val="2"/>
      <w:sz w:val="21"/>
      <w:szCs w:val="22"/>
    </w:rPr>
    <w:tblPr>
      <w:tblStyle w:val="3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
    <w:name w:val="网格型1"/>
    <w:basedOn w:val="32"/>
    <w:qFormat/>
    <w:uiPriority w:val="39"/>
    <w:rPr>
      <w:rFonts w:ascii="等线" w:hAnsi="等线" w:eastAsia="等线" w:cs="Times New Roman"/>
      <w:kern w:val="2"/>
      <w:sz w:val="21"/>
      <w:szCs w:val="22"/>
    </w:rPr>
    <w:tblPr>
      <w:tblStyle w:val="3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
    <w:name w:val="论文1"/>
    <w:basedOn w:val="32"/>
    <w:qFormat/>
    <w:uiPriority w:val="99"/>
    <w:tblPr>
      <w:tblStyle w:val="32"/>
      <w:jc w:val="center"/>
      <w:tblBorders>
        <w:top w:val="single" w:color="auto" w:sz="8" w:space="0"/>
        <w:bottom w:val="single" w:color="auto" w:sz="8" w:space="0"/>
        <w:insideH w:val="single" w:color="auto" w:sz="4" w:space="0"/>
      </w:tblBorders>
    </w:tblPr>
    <w:trPr>
      <w:jc w:val="center"/>
    </w:trPr>
    <w:tcPr>
      <w:vAlign w:val="center"/>
    </w:tcPr>
    <w:tblStylePr w:type="firstRow">
      <w:pPr>
        <w:wordWrap/>
        <w:spacing w:line="240" w:lineRule="auto"/>
        <w:ind w:firstLine="0" w:firstLineChars="0"/>
      </w:pPr>
      <w:rPr>
        <w:rFonts w:ascii="宋体" w:hAnsi="宋体" w:eastAsia="Arial"/>
        <w:b w:val="0"/>
        <w:i w:val="0"/>
        <w:sz w:val="21"/>
      </w:rPr>
      <w:tblPr>
        <w:tblStyle w:val="32"/>
      </w:tblPr>
      <w:tcPr>
        <w:tcBorders>
          <w:top w:val="single" w:color="auto" w:sz="8" w:space="0"/>
          <w:left w:val="single" w:color="auto" w:sz="8" w:space="0"/>
          <w:bottom w:val="nil"/>
          <w:right w:val="nil"/>
          <w:insideH w:val="nil"/>
          <w:insideV w:val="nil"/>
          <w:tl2br w:val="nil"/>
          <w:tr2bl w:val="nil"/>
        </w:tcBorders>
      </w:tcPr>
    </w:tblStylePr>
    <w:tblStylePr w:type="lastRow">
      <w:rPr>
        <w:rFonts w:ascii="宋体" w:hAnsi="宋体" w:eastAsia="Arial"/>
        <w:b w:val="0"/>
        <w:i w:val="0"/>
        <w:sz w:val="21"/>
      </w:rPr>
    </w:tblStylePr>
  </w:style>
  <w:style w:type="table" w:customStyle="1" w:styleId="131">
    <w:name w:val="网格型31"/>
    <w:basedOn w:val="32"/>
    <w:uiPriority w:val="39"/>
    <w:rPr>
      <w:rFonts w:ascii="等线" w:hAnsi="等线" w:eastAsia="等线"/>
      <w:kern w:val="2"/>
      <w:sz w:val="21"/>
      <w:szCs w:val="22"/>
    </w:rPr>
    <w:tblPr>
      <w:tblStyle w:val="3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
    <w:name w:val="网格型5"/>
    <w:basedOn w:val="32"/>
    <w:uiPriority w:val="39"/>
    <w:rPr>
      <w:rFonts w:ascii="Calibri" w:hAnsi="Calibri" w:eastAsia="宋体" w:cs="Times New Roman"/>
      <w:kern w:val="2"/>
      <w:sz w:val="21"/>
      <w:szCs w:val="22"/>
    </w:rPr>
    <w:tblPr>
      <w:tblStyle w:val="3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
    <w:name w:val="网格型4"/>
    <w:basedOn w:val="32"/>
    <w:uiPriority w:val="39"/>
    <w:rPr>
      <w:rFonts w:ascii="Calibri" w:hAnsi="Calibri" w:eastAsia="宋体" w:cs="Times New Roman"/>
      <w:kern w:val="2"/>
      <w:sz w:val="21"/>
      <w:szCs w:val="22"/>
    </w:rPr>
    <w:tblPr>
      <w:tblStyle w:val="3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156</Pages>
  <Words>25523</Words>
  <Characters>26495</Characters>
  <Lines>668</Lines>
  <Paragraphs>188</Paragraphs>
  <TotalTime>47</TotalTime>
  <ScaleCrop>false</ScaleCrop>
  <LinksUpToDate>false</LinksUpToDate>
  <CharactersWithSpaces>27101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2024-11-29T22:22:00Z</dcterms:created>
  <dc:creator>清少 纳言</dc:creator>
  <cp:lastModifiedBy>峰</cp:lastModifiedBy>
  <cp:lastPrinted>2023-08-08T23:57:00Z</cp:lastPrinted>
  <dcterms:modified xsi:type="dcterms:W3CDTF">2025-04-16T10:04:15Z</dcterms:modified>
  <dc:title>珠海市国土空间总体规划</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51CA74FFFA424135BDF6CC4E91B0F080_13</vt:lpwstr>
  </property>
  <property fmtid="{D5CDD505-2E9C-101B-9397-08002B2CF9AE}" pid="4" name="KSOTemplateDocerSaveRecord">
    <vt:lpwstr>eyJoZGlkIjoiZDU0MTJkZjA4Y2ZhYmZkZGM1NWVmYmVmODFjYmM5MzEiLCJ1c2VySWQiOiI0NDIwMTcyODcifQ==</vt:lpwstr>
  </property>
</Properties>
</file>