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79" w:lineRule="exact"/>
        <w:ind w:firstLine="0" w:firstLineChars="0"/>
        <w:rPr>
          <w:rFonts w:ascii="黑体" w:hAnsi="黑体" w:eastAsia="黑体" w:cs="黑体"/>
          <w:sz w:val="32"/>
          <w:szCs w:val="32"/>
        </w:rPr>
      </w:pPr>
      <w:r>
        <w:rPr>
          <w:rFonts w:hint="eastAsia" w:ascii="黑体" w:hAnsi="黑体" w:eastAsia="黑体" w:cs="黑体"/>
          <w:sz w:val="32"/>
          <w:szCs w:val="32"/>
        </w:rPr>
        <w:t>附件2</w:t>
      </w:r>
    </w:p>
    <w:p>
      <w:pPr>
        <w:pStyle w:val="4"/>
        <w:snapToGrid w:val="0"/>
        <w:spacing w:line="579" w:lineRule="exact"/>
        <w:ind w:firstLine="560"/>
        <w:rPr>
          <w:rFonts w:eastAsia="微软雅黑" w:cs="仿宋_GB2312"/>
          <w:sz w:val="28"/>
          <w:szCs w:val="28"/>
        </w:rPr>
      </w:pPr>
    </w:p>
    <w:p>
      <w:pPr>
        <w:pStyle w:val="4"/>
        <w:snapToGrid w:val="0"/>
        <w:spacing w:line="579" w:lineRule="exact"/>
        <w:ind w:firstLine="0" w:firstLineChars="0"/>
        <w:jc w:val="center"/>
        <w:rPr>
          <w:rFonts w:eastAsia="方正小标宋简体" w:cs="仿宋_GB2312"/>
          <w:sz w:val="44"/>
          <w:szCs w:val="44"/>
        </w:rPr>
      </w:pPr>
      <w:bookmarkStart w:id="0" w:name="_GoBack"/>
      <w:r>
        <w:rPr>
          <w:rFonts w:hint="eastAsia" w:eastAsia="方正小标宋简体" w:cs="仿宋_GB2312"/>
          <w:sz w:val="44"/>
          <w:szCs w:val="44"/>
        </w:rPr>
        <w:t>横琴粤澳深度合作区跨境电商成长型示范园区评价标准</w:t>
      </w:r>
    </w:p>
    <w:bookmarkEnd w:id="0"/>
    <w:tbl>
      <w:tblPr>
        <w:tblStyle w:val="6"/>
        <w:tblpPr w:leftFromText="180" w:rightFromText="180" w:vertAnchor="text" w:horzAnchor="page" w:tblpX="1476" w:tblpY="370"/>
        <w:tblOverlap w:val="never"/>
        <w:tblW w:w="9373" w:type="dxa"/>
        <w:tblInd w:w="0" w:type="dxa"/>
        <w:tblLayout w:type="fixed"/>
        <w:tblCellMar>
          <w:top w:w="0" w:type="dxa"/>
          <w:left w:w="108" w:type="dxa"/>
          <w:bottom w:w="0" w:type="dxa"/>
          <w:right w:w="108" w:type="dxa"/>
        </w:tblCellMar>
      </w:tblPr>
      <w:tblGrid>
        <w:gridCol w:w="1166"/>
        <w:gridCol w:w="826"/>
        <w:gridCol w:w="1699"/>
        <w:gridCol w:w="1207"/>
        <w:gridCol w:w="4475"/>
      </w:tblGrid>
      <w:tr>
        <w:tblPrEx>
          <w:tblCellMar>
            <w:top w:w="0" w:type="dxa"/>
            <w:left w:w="108" w:type="dxa"/>
            <w:bottom w:w="0" w:type="dxa"/>
            <w:right w:w="108" w:type="dxa"/>
          </w:tblCellMar>
        </w:tblPrEx>
        <w:trPr>
          <w:trHeight w:val="1240" w:hRule="atLeast"/>
          <w:tblHeader/>
        </w:trPr>
        <w:tc>
          <w:tcPr>
            <w:tcW w:w="1166"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一级</w:t>
            </w:r>
          </w:p>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指标</w:t>
            </w:r>
          </w:p>
        </w:tc>
        <w:tc>
          <w:tcPr>
            <w:tcW w:w="82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最高</w:t>
            </w:r>
          </w:p>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分值</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二级指标</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最高分值</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b/>
                <w:bCs/>
                <w:sz w:val="24"/>
              </w:rPr>
            </w:pPr>
            <w:r>
              <w:rPr>
                <w:rFonts w:hint="eastAsia" w:ascii="Times New Roman" w:hAnsi="Times New Roman" w:eastAsia="仿宋_GB2312" w:cs="Arial"/>
                <w:b/>
                <w:bCs/>
                <w:sz w:val="24"/>
              </w:rPr>
              <w:t>条件及分值计算</w:t>
            </w:r>
          </w:p>
        </w:tc>
      </w:tr>
      <w:tr>
        <w:tblPrEx>
          <w:tblCellMar>
            <w:top w:w="0" w:type="dxa"/>
            <w:left w:w="108" w:type="dxa"/>
            <w:bottom w:w="0" w:type="dxa"/>
            <w:right w:w="108" w:type="dxa"/>
          </w:tblCellMar>
        </w:tblPrEx>
        <w:trPr>
          <w:trHeight w:val="1487" w:hRule="atLeast"/>
        </w:trPr>
        <w:tc>
          <w:tcPr>
            <w:tcW w:w="1166" w:type="dxa"/>
            <w:vMerge w:val="restart"/>
            <w:tcBorders>
              <w:top w:val="nil"/>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基础</w:t>
            </w:r>
          </w:p>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硬件</w:t>
            </w:r>
          </w:p>
        </w:tc>
        <w:tc>
          <w:tcPr>
            <w:tcW w:w="826" w:type="dxa"/>
            <w:vMerge w:val="restart"/>
            <w:tcBorders>
              <w:top w:val="nil"/>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23</w:t>
            </w: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园区总体建筑面积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园区已建成的总体建筑面积，超过2万平方米的，每增加</w:t>
            </w:r>
            <w:r>
              <w:rPr>
                <w:rFonts w:ascii="Times New Roman" w:hAnsi="Times New Roman" w:eastAsia="仿宋_GB2312" w:cs="Arial"/>
                <w:sz w:val="24"/>
              </w:rPr>
              <w:t>4</w:t>
            </w:r>
            <w:r>
              <w:rPr>
                <w:rFonts w:hint="eastAsia" w:ascii="Times New Roman" w:hAnsi="Times New Roman" w:eastAsia="仿宋_GB2312" w:cs="Arial"/>
                <w:sz w:val="24"/>
              </w:rPr>
              <w:t>万平方米得1分。</w:t>
            </w:r>
          </w:p>
        </w:tc>
      </w:tr>
      <w:tr>
        <w:tblPrEx>
          <w:tblCellMar>
            <w:top w:w="0" w:type="dxa"/>
            <w:left w:w="108" w:type="dxa"/>
            <w:bottom w:w="0" w:type="dxa"/>
            <w:right w:w="108" w:type="dxa"/>
          </w:tblCellMar>
        </w:tblPrEx>
        <w:trPr>
          <w:trHeight w:val="1752"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园区办公场地面积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园区已建成的办公场地建筑面积，超过2万平方米的，每增加1万平方米得1分。</w:t>
            </w:r>
          </w:p>
        </w:tc>
      </w:tr>
      <w:tr>
        <w:tblPrEx>
          <w:tblCellMar>
            <w:top w:w="0" w:type="dxa"/>
            <w:left w:w="108" w:type="dxa"/>
            <w:bottom w:w="0" w:type="dxa"/>
            <w:right w:w="108" w:type="dxa"/>
          </w:tblCellMar>
        </w:tblPrEx>
        <w:trPr>
          <w:trHeight w:val="1777"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园区商业配套面积</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园区已建成的商业面积，超过1万平方米的，每增加5000平方米得1分。</w:t>
            </w:r>
          </w:p>
        </w:tc>
      </w:tr>
      <w:tr>
        <w:tblPrEx>
          <w:tblCellMar>
            <w:top w:w="0" w:type="dxa"/>
            <w:left w:w="108" w:type="dxa"/>
            <w:bottom w:w="0" w:type="dxa"/>
            <w:right w:w="108" w:type="dxa"/>
          </w:tblCellMar>
        </w:tblPrEx>
        <w:trPr>
          <w:trHeight w:val="1835" w:hRule="atLeast"/>
        </w:trPr>
        <w:tc>
          <w:tcPr>
            <w:tcW w:w="116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left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人才公寓数量</w:t>
            </w:r>
          </w:p>
        </w:tc>
        <w:tc>
          <w:tcPr>
            <w:tcW w:w="1207" w:type="dxa"/>
            <w:tcBorders>
              <w:top w:val="nil"/>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园区已建成并提供给入驻企业使用的人才公寓，超过100套的，每增加</w:t>
            </w:r>
            <w:r>
              <w:rPr>
                <w:rFonts w:hint="eastAsia" w:ascii="Times New Roman" w:hAnsi="Times New Roman" w:eastAsia="仿宋_GB2312" w:cs="Arial"/>
                <w:sz w:val="24"/>
                <w:lang w:val="en-US" w:eastAsia="zh-CN"/>
              </w:rPr>
              <w:t>5</w:t>
            </w:r>
            <w:r>
              <w:rPr>
                <w:rFonts w:hint="eastAsia" w:ascii="Times New Roman" w:hAnsi="Times New Roman" w:eastAsia="仿宋_GB2312" w:cs="Arial"/>
                <w:sz w:val="24"/>
              </w:rPr>
              <w:t>0套得1分。</w:t>
            </w:r>
          </w:p>
        </w:tc>
      </w:tr>
      <w:tr>
        <w:tblPrEx>
          <w:tblCellMar>
            <w:top w:w="0" w:type="dxa"/>
            <w:left w:w="108" w:type="dxa"/>
            <w:bottom w:w="0" w:type="dxa"/>
            <w:right w:w="108" w:type="dxa"/>
          </w:tblCellMar>
        </w:tblPrEx>
        <w:trPr>
          <w:trHeight w:val="1788" w:hRule="atLeast"/>
        </w:trPr>
        <w:tc>
          <w:tcPr>
            <w:tcW w:w="1166" w:type="dxa"/>
            <w:vMerge w:val="continue"/>
            <w:tcBorders>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826" w:type="dxa"/>
            <w:vMerge w:val="continue"/>
            <w:tcBorders>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1699" w:type="dxa"/>
            <w:tcBorders>
              <w:top w:val="nil"/>
              <w:left w:val="nil"/>
              <w:bottom w:val="single" w:color="auto" w:sz="4" w:space="0"/>
              <w:right w:val="single" w:color="auto" w:sz="4" w:space="0"/>
            </w:tcBorders>
            <w:vAlign w:val="center"/>
          </w:tcPr>
          <w:p>
            <w:pPr>
              <w:widowControl/>
              <w:snapToGrid w:val="0"/>
              <w:spacing w:line="579" w:lineRule="exact"/>
              <w:jc w:val="center"/>
            </w:pPr>
            <w:r>
              <w:rPr>
                <w:rFonts w:hint="eastAsia" w:ascii="Times New Roman" w:hAnsi="Times New Roman" w:eastAsia="仿宋_GB2312" w:cs="Arial"/>
                <w:sz w:val="24"/>
                <w:lang w:bidi="ar"/>
              </w:rPr>
              <w:t>公共跨境网络专线带宽</w:t>
            </w:r>
          </w:p>
        </w:tc>
        <w:tc>
          <w:tcPr>
            <w:tcW w:w="1207" w:type="dxa"/>
            <w:tcBorders>
              <w:top w:val="nil"/>
              <w:left w:val="nil"/>
              <w:bottom w:val="single" w:color="auto" w:sz="4" w:space="0"/>
              <w:right w:val="single" w:color="auto" w:sz="4" w:space="0"/>
            </w:tcBorders>
            <w:vAlign w:val="center"/>
          </w:tcPr>
          <w:p>
            <w:pPr>
              <w:widowControl/>
              <w:snapToGrid w:val="0"/>
              <w:spacing w:line="579" w:lineRule="exact"/>
              <w:ind w:firstLine="480" w:firstLineChars="200"/>
              <w:rPr>
                <w:rFonts w:ascii="Times New Roman" w:hAnsi="Times New Roman" w:eastAsia="仿宋_GB2312" w:cs="Arial"/>
                <w:sz w:val="24"/>
                <w:lang w:bidi="ar"/>
              </w:rPr>
            </w:pPr>
            <w:r>
              <w:rPr>
                <w:rFonts w:hint="eastAsia" w:ascii="Times New Roman" w:hAnsi="Times New Roman" w:eastAsia="仿宋_GB2312" w:cs="Arial"/>
                <w:sz w:val="24"/>
                <w:lang w:bidi="ar"/>
              </w:rPr>
              <w:t>3</w:t>
            </w:r>
          </w:p>
        </w:tc>
        <w:tc>
          <w:tcPr>
            <w:tcW w:w="4475" w:type="dxa"/>
            <w:tcBorders>
              <w:top w:val="nil"/>
              <w:left w:val="nil"/>
              <w:bottom w:val="single" w:color="auto" w:sz="4" w:space="0"/>
              <w:right w:val="single" w:color="auto" w:sz="4" w:space="0"/>
            </w:tcBorders>
            <w:vAlign w:val="center"/>
          </w:tcPr>
          <w:p>
            <w:pPr>
              <w:widowControl/>
              <w:snapToGrid w:val="0"/>
              <w:spacing w:line="579" w:lineRule="exact"/>
              <w:ind w:leftChars="-22" w:hanging="45" w:hangingChars="19"/>
              <w:rPr>
                <w:rFonts w:ascii="Times New Roman" w:hAnsi="Times New Roman" w:eastAsia="仿宋_GB2312" w:cs="Arial"/>
                <w:sz w:val="24"/>
                <w:lang w:bidi="ar"/>
              </w:rPr>
            </w:pPr>
            <w:r>
              <w:rPr>
                <w:rFonts w:hint="eastAsia" w:ascii="Times New Roman" w:hAnsi="Times New Roman" w:eastAsia="仿宋_GB2312" w:cs="Arial"/>
                <w:sz w:val="24"/>
                <w:lang w:bidi="ar"/>
              </w:rPr>
              <w:t>园区配置公共跨境网络专线带宽，每100Mbps，得1分。（可多线统计）</w:t>
            </w:r>
          </w:p>
        </w:tc>
      </w:tr>
      <w:tr>
        <w:tblPrEx>
          <w:tblCellMar>
            <w:top w:w="0" w:type="dxa"/>
            <w:left w:w="108" w:type="dxa"/>
            <w:bottom w:w="0" w:type="dxa"/>
            <w:right w:w="108" w:type="dxa"/>
          </w:tblCellMar>
        </w:tblPrEx>
        <w:trPr>
          <w:trHeight w:val="1280" w:hRule="atLeast"/>
        </w:trPr>
        <w:tc>
          <w:tcPr>
            <w:tcW w:w="11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入驻</w:t>
            </w:r>
          </w:p>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企业</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50</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园区电商企业经济贡献</w:t>
            </w:r>
          </w:p>
        </w:tc>
        <w:tc>
          <w:tcPr>
            <w:tcW w:w="120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12</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注册在园区且实质性运营的电商企业年经济贡献，超过1亿元的，得5分。每增加3000万元得1分。</w:t>
            </w:r>
          </w:p>
        </w:tc>
      </w:tr>
      <w:tr>
        <w:tblPrEx>
          <w:tblCellMar>
            <w:top w:w="0" w:type="dxa"/>
            <w:left w:w="108" w:type="dxa"/>
            <w:bottom w:w="0" w:type="dxa"/>
            <w:right w:w="108" w:type="dxa"/>
          </w:tblCellMar>
        </w:tblPrEx>
        <w:trPr>
          <w:trHeight w:val="2066"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园区电商企业办公人数</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hint="eastAsia" w:ascii="Times New Roman" w:hAnsi="Times New Roman" w:eastAsia="仿宋_GB2312" w:cs="Arial"/>
                <w:sz w:val="24"/>
              </w:rPr>
            </w:pPr>
            <w:r>
              <w:rPr>
                <w:rFonts w:hint="eastAsia"/>
              </w:rPr>
              <w:t>注</w:t>
            </w:r>
            <w:r>
              <w:rPr>
                <w:rFonts w:hint="eastAsia" w:ascii="Times New Roman" w:hAnsi="Times New Roman" w:eastAsia="仿宋_GB2312" w:cs="Arial"/>
                <w:sz w:val="24"/>
              </w:rPr>
              <w:t>册在园区且实质性运营的电商企业参加社会保险并实际办公人数（不含开发和运营主体员工人数），超过500人的，得5分。每增加50人得1分。</w:t>
            </w:r>
          </w:p>
          <w:p>
            <w:pPr>
              <w:snapToGrid w:val="0"/>
              <w:spacing w:line="500" w:lineRule="exact"/>
              <w:jc w:val="left"/>
              <w:rPr>
                <w:rFonts w:hint="default" w:eastAsia="仿宋_GB2312"/>
                <w:lang w:val="en-US" w:eastAsia="zh-CN"/>
              </w:rPr>
            </w:pPr>
            <w:r>
              <w:rPr>
                <w:rFonts w:hint="eastAsia" w:ascii="Times New Roman" w:hAnsi="Times New Roman" w:eastAsia="仿宋_GB2312" w:cs="Arial"/>
                <w:sz w:val="24"/>
                <w:lang w:val="en-GB"/>
              </w:rPr>
              <w:t>享受豁免缴纳内地社会保险的境外人才或因客观原因未能在合作区缴纳社会保险的境内人才</w:t>
            </w:r>
            <w:r>
              <w:rPr>
                <w:rFonts w:hint="eastAsia" w:ascii="Times New Roman" w:hAnsi="Times New Roman" w:eastAsia="仿宋_GB2312" w:cs="Arial"/>
                <w:sz w:val="24"/>
                <w:lang w:val="en-GB" w:eastAsia="zh-CN"/>
              </w:rPr>
              <w:t>，</w:t>
            </w:r>
            <w:r>
              <w:rPr>
                <w:rFonts w:hint="eastAsia" w:ascii="Times New Roman" w:hAnsi="Times New Roman" w:eastAsia="仿宋_GB2312" w:cs="Arial"/>
                <w:sz w:val="24"/>
                <w:lang w:val="en-US" w:eastAsia="zh-CN"/>
              </w:rPr>
              <w:t>经核定后纳入计算范围。</w:t>
            </w:r>
          </w:p>
        </w:tc>
      </w:tr>
      <w:tr>
        <w:tblPrEx>
          <w:tblCellMar>
            <w:top w:w="0" w:type="dxa"/>
            <w:left w:w="108" w:type="dxa"/>
            <w:bottom w:w="0" w:type="dxa"/>
            <w:right w:w="108" w:type="dxa"/>
          </w:tblCellMar>
        </w:tblPrEx>
        <w:trPr>
          <w:trHeight w:val="151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园区电商企业年营业收入</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注册在园区且实质性运营的电商企业年营业收入（按统计部门纳入统计为准），超过30亿元的，得5分。每增加</w:t>
            </w:r>
            <w:r>
              <w:rPr>
                <w:rFonts w:hint="eastAsia" w:ascii="Times New Roman" w:hAnsi="Times New Roman" w:eastAsia="仿宋_GB2312" w:cs="Arial"/>
                <w:sz w:val="24"/>
                <w:lang w:val="en-US" w:eastAsia="zh-CN"/>
              </w:rPr>
              <w:t>2</w:t>
            </w:r>
            <w:r>
              <w:rPr>
                <w:rFonts w:hint="eastAsia" w:ascii="Times New Roman" w:hAnsi="Times New Roman" w:eastAsia="仿宋_GB2312" w:cs="Arial"/>
                <w:sz w:val="24"/>
              </w:rPr>
              <w:t>亿元得1分。</w:t>
            </w:r>
          </w:p>
        </w:tc>
      </w:tr>
      <w:tr>
        <w:tblPrEx>
          <w:tblCellMar>
            <w:top w:w="0" w:type="dxa"/>
            <w:left w:w="108" w:type="dxa"/>
            <w:bottom w:w="0" w:type="dxa"/>
            <w:right w:w="108" w:type="dxa"/>
          </w:tblCellMar>
        </w:tblPrEx>
        <w:trPr>
          <w:trHeight w:val="2090"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园区电商企业数量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8</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注册在园区且实质性运营的电商企业数量超过30家的（其中小微企业不超过15家，澳资企业不少于5家），得5分。每增加5家得1分；或每新增2家年营业收入超10亿元的电商企业得1分。</w:t>
            </w:r>
          </w:p>
        </w:tc>
      </w:tr>
      <w:tr>
        <w:tblPrEx>
          <w:tblCellMar>
            <w:top w:w="0" w:type="dxa"/>
            <w:left w:w="108" w:type="dxa"/>
            <w:bottom w:w="0" w:type="dxa"/>
            <w:right w:w="108" w:type="dxa"/>
          </w:tblCellMar>
        </w:tblPrEx>
        <w:trPr>
          <w:trHeight w:val="1588"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园区跨境电商企业数量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注册在园区且实质性运营的跨境电商企业数量，超过10家的，得2分。每增加2家得1分。</w:t>
            </w:r>
          </w:p>
        </w:tc>
      </w:tr>
      <w:tr>
        <w:tblPrEx>
          <w:tblCellMar>
            <w:top w:w="0" w:type="dxa"/>
            <w:left w:w="108" w:type="dxa"/>
            <w:bottom w:w="0" w:type="dxa"/>
            <w:right w:w="108" w:type="dxa"/>
          </w:tblCellMar>
        </w:tblPrEx>
        <w:trPr>
          <w:trHeight w:val="1547"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ind w:firstLine="480" w:firstLineChars="200"/>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规模（限额）以上企业数量</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nil"/>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注册在园区且实质性运营的规模（限额）以上企业，每增加2家，得1分。</w:t>
            </w:r>
          </w:p>
        </w:tc>
      </w:tr>
      <w:tr>
        <w:tblPrEx>
          <w:tblCellMar>
            <w:top w:w="0" w:type="dxa"/>
            <w:left w:w="108" w:type="dxa"/>
            <w:bottom w:w="0" w:type="dxa"/>
            <w:right w:w="108" w:type="dxa"/>
          </w:tblCellMar>
        </w:tblPrEx>
        <w:trPr>
          <w:trHeight w:val="280" w:hRule="atLeast"/>
        </w:trPr>
        <w:tc>
          <w:tcPr>
            <w:tcW w:w="11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发展</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投入</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15</w:t>
            </w:r>
          </w:p>
        </w:tc>
        <w:tc>
          <w:tcPr>
            <w:tcW w:w="169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园区新增升级改造投资支出金额</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10</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园区在申请年度内新增园区升级改造实际投入（包括改造装修、设施建设、设备购置、展厅建设费用，不包含土建、征地拆迁费用），超过3000万元的，得3分。每增加1000万元得1分。</w:t>
            </w:r>
          </w:p>
        </w:tc>
      </w:tr>
      <w:tr>
        <w:tblPrEx>
          <w:tblCellMar>
            <w:top w:w="0" w:type="dxa"/>
            <w:left w:w="108" w:type="dxa"/>
            <w:bottom w:w="0" w:type="dxa"/>
            <w:right w:w="108" w:type="dxa"/>
          </w:tblCellMar>
        </w:tblPrEx>
        <w:trPr>
          <w:trHeight w:val="1351" w:hRule="atLeast"/>
        </w:trPr>
        <w:tc>
          <w:tcPr>
            <w:tcW w:w="11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园区产业基金规模</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园区设立至少1亿元的专项基金，得3分，每投资1个电商企业落户园区，得1分。</w:t>
            </w:r>
          </w:p>
        </w:tc>
      </w:tr>
      <w:tr>
        <w:tblPrEx>
          <w:tblCellMar>
            <w:top w:w="0" w:type="dxa"/>
            <w:left w:w="108" w:type="dxa"/>
            <w:bottom w:w="0" w:type="dxa"/>
            <w:right w:w="108" w:type="dxa"/>
          </w:tblCellMar>
        </w:tblPrEx>
        <w:trPr>
          <w:trHeight w:val="280" w:hRule="atLeast"/>
        </w:trPr>
        <w:tc>
          <w:tcPr>
            <w:tcW w:w="1166" w:type="dxa"/>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服务</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团队</w:t>
            </w:r>
          </w:p>
        </w:tc>
        <w:tc>
          <w:tcPr>
            <w:tcW w:w="826" w:type="dxa"/>
            <w:tcBorders>
              <w:top w:val="single" w:color="auto" w:sz="4" w:space="0"/>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169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园区招商运营服务团队人员数量</w:t>
            </w:r>
          </w:p>
        </w:tc>
        <w:tc>
          <w:tcPr>
            <w:tcW w:w="120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园区配备的专业招商及运营服务团队人员</w:t>
            </w:r>
            <w:r>
              <w:rPr>
                <w:rFonts w:hint="eastAsia" w:ascii="Times New Roman" w:hAnsi="Times New Roman" w:eastAsia="仿宋_GB2312" w:cs="Arial"/>
                <w:sz w:val="24"/>
                <w:lang w:eastAsia="zh-CN"/>
              </w:rPr>
              <w:t>（</w:t>
            </w:r>
            <w:r>
              <w:rPr>
                <w:rFonts w:hint="eastAsia" w:ascii="Times New Roman" w:hAnsi="Times New Roman" w:eastAsia="仿宋_GB2312" w:cs="Arial"/>
                <w:sz w:val="24"/>
                <w:lang w:val="en-US" w:eastAsia="zh-CN"/>
              </w:rPr>
              <w:t>保洁人员和保安除外</w:t>
            </w:r>
            <w:r>
              <w:rPr>
                <w:rFonts w:hint="eastAsia" w:ascii="Times New Roman" w:hAnsi="Times New Roman" w:eastAsia="仿宋_GB2312" w:cs="Arial"/>
                <w:sz w:val="24"/>
                <w:lang w:eastAsia="zh-CN"/>
              </w:rPr>
              <w:t>）</w:t>
            </w:r>
            <w:r>
              <w:rPr>
                <w:rFonts w:hint="eastAsia" w:ascii="Times New Roman" w:hAnsi="Times New Roman" w:eastAsia="仿宋_GB2312" w:cs="Arial"/>
                <w:sz w:val="24"/>
              </w:rPr>
              <w:t>数量，超过20人的，每增加5人得1分。</w:t>
            </w:r>
          </w:p>
        </w:tc>
      </w:tr>
      <w:tr>
        <w:tblPrEx>
          <w:tblCellMar>
            <w:top w:w="0" w:type="dxa"/>
            <w:left w:w="108" w:type="dxa"/>
            <w:bottom w:w="0" w:type="dxa"/>
            <w:right w:w="108" w:type="dxa"/>
          </w:tblCellMar>
        </w:tblPrEx>
        <w:trPr>
          <w:trHeight w:val="280" w:hRule="atLeast"/>
        </w:trPr>
        <w:tc>
          <w:tcPr>
            <w:tcW w:w="1166" w:type="dxa"/>
            <w:vMerge w:val="restart"/>
            <w:tcBorders>
              <w:top w:val="single" w:color="auto" w:sz="4" w:space="0"/>
              <w:left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澳门</w:t>
            </w:r>
          </w:p>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元素</w:t>
            </w:r>
          </w:p>
        </w:tc>
        <w:tc>
          <w:tcPr>
            <w:tcW w:w="826" w:type="dxa"/>
            <w:vMerge w:val="restart"/>
            <w:tcBorders>
              <w:top w:val="single" w:color="auto" w:sz="4" w:space="0"/>
              <w:left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r>
              <w:rPr>
                <w:rFonts w:hint="eastAsia" w:ascii="Times New Roman" w:hAnsi="Times New Roman" w:eastAsia="仿宋_GB2312" w:cs="Arial"/>
                <w:sz w:val="24"/>
              </w:rPr>
              <w:t>7</w:t>
            </w: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澳门投资者</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5</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园区的投资人为澳门居民且持股不低于25%（包括股权穿透计算澳门居民实际控股比例），得5分。</w:t>
            </w:r>
          </w:p>
        </w:tc>
      </w:tr>
      <w:tr>
        <w:tblPrEx>
          <w:tblCellMar>
            <w:top w:w="0" w:type="dxa"/>
            <w:left w:w="108" w:type="dxa"/>
            <w:bottom w:w="0" w:type="dxa"/>
            <w:right w:w="108" w:type="dxa"/>
          </w:tblCellMar>
        </w:tblPrEx>
        <w:trPr>
          <w:trHeight w:val="280" w:hRule="atLeast"/>
        </w:trPr>
        <w:tc>
          <w:tcPr>
            <w:tcW w:w="1166" w:type="dxa"/>
            <w:vMerge w:val="continue"/>
            <w:tcBorders>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826" w:type="dxa"/>
            <w:vMerge w:val="continue"/>
            <w:tcBorders>
              <w:left w:val="single" w:color="auto" w:sz="4" w:space="0"/>
              <w:bottom w:val="single" w:color="auto" w:sz="4" w:space="0"/>
              <w:right w:val="single" w:color="auto" w:sz="4" w:space="0"/>
            </w:tcBorders>
            <w:vAlign w:val="center"/>
          </w:tcPr>
          <w:p>
            <w:pPr>
              <w:snapToGrid w:val="0"/>
              <w:spacing w:line="579" w:lineRule="exact"/>
              <w:jc w:val="center"/>
              <w:rPr>
                <w:rFonts w:ascii="Times New Roman" w:hAnsi="Times New Roman" w:eastAsia="仿宋_GB2312" w:cs="Arial"/>
                <w:sz w:val="24"/>
              </w:rPr>
            </w:pPr>
          </w:p>
        </w:tc>
        <w:tc>
          <w:tcPr>
            <w:tcW w:w="1699"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设立澳门中小企业跨境电商服务中心</w:t>
            </w:r>
          </w:p>
        </w:tc>
        <w:tc>
          <w:tcPr>
            <w:tcW w:w="1207"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Times New Roman" w:hAnsi="Times New Roman" w:eastAsia="仿宋_GB2312" w:cs="Arial"/>
                <w:sz w:val="24"/>
              </w:rPr>
            </w:pPr>
            <w:r>
              <w:rPr>
                <w:rFonts w:hint="eastAsia" w:ascii="Times New Roman" w:hAnsi="Times New Roman" w:eastAsia="仿宋_GB2312" w:cs="Arial"/>
                <w:sz w:val="24"/>
              </w:rPr>
              <w:t>2</w:t>
            </w:r>
          </w:p>
        </w:tc>
        <w:tc>
          <w:tcPr>
            <w:tcW w:w="4475" w:type="dxa"/>
            <w:tcBorders>
              <w:top w:val="single" w:color="auto" w:sz="4" w:space="0"/>
              <w:left w:val="nil"/>
              <w:bottom w:val="single" w:color="auto" w:sz="4" w:space="0"/>
              <w:right w:val="single" w:color="auto" w:sz="4" w:space="0"/>
            </w:tcBorders>
            <w:vAlign w:val="center"/>
          </w:tcPr>
          <w:p>
            <w:pPr>
              <w:snapToGrid w:val="0"/>
              <w:spacing w:line="500" w:lineRule="exact"/>
              <w:jc w:val="left"/>
              <w:rPr>
                <w:rFonts w:ascii="Times New Roman" w:hAnsi="Times New Roman" w:eastAsia="仿宋_GB2312" w:cs="Arial"/>
                <w:sz w:val="24"/>
              </w:rPr>
            </w:pPr>
            <w:r>
              <w:rPr>
                <w:rFonts w:hint="eastAsia" w:ascii="Times New Roman" w:hAnsi="Times New Roman" w:eastAsia="仿宋_GB2312" w:cs="Arial"/>
                <w:sz w:val="24"/>
              </w:rPr>
              <w:t>在园区内设立服务团队不少于5人的澳门中小企业跨境电商服务中心，得2分</w:t>
            </w:r>
          </w:p>
        </w:tc>
      </w:tr>
    </w:tbl>
    <w:p>
      <w:pPr>
        <w:pStyle w:val="5"/>
        <w:widowControl/>
        <w:shd w:val="clear" w:color="auto" w:fill="FFFFFF"/>
        <w:spacing w:before="0" w:beforeAutospacing="0" w:after="0" w:afterAutospacing="0" w:line="579" w:lineRule="exact"/>
        <w:jc w:val="both"/>
      </w:pPr>
    </w:p>
    <w:p>
      <w:pPr>
        <w:pStyle w:val="5"/>
        <w:widowControl/>
        <w:shd w:val="clear" w:color="auto" w:fill="FFFFFF"/>
        <w:spacing w:before="0" w:beforeAutospacing="0" w:after="0" w:afterAutospacing="0" w:line="579" w:lineRule="exact"/>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QzZTE1NjU0N2IwNmEyMzUzNWNiMjhlZmI3N2EifQ=="/>
  </w:docVars>
  <w:rsids>
    <w:rsidRoot w:val="00000000"/>
    <w:rsid w:val="79B1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lang w:val="en-GB"/>
    </w:rPr>
  </w:style>
  <w:style w:type="paragraph" w:styleId="3">
    <w:name w:val="Title"/>
    <w:basedOn w:val="1"/>
    <w:next w:val="1"/>
    <w:qFormat/>
    <w:uiPriority w:val="0"/>
    <w:pPr>
      <w:widowControl/>
      <w:spacing w:before="240" w:after="60" w:line="560" w:lineRule="exact"/>
      <w:jc w:val="center"/>
    </w:pPr>
    <w:rPr>
      <w:rFonts w:ascii="Arial" w:hAnsi="Arial" w:eastAsia="华文中宋" w:cs="Arial"/>
      <w:bCs/>
      <w:color w:val="FF0000"/>
      <w:kern w:val="0"/>
      <w:sz w:val="84"/>
      <w:szCs w:val="32"/>
    </w:rPr>
  </w:style>
  <w:style w:type="paragraph" w:styleId="4">
    <w:name w:val="Normal Indent"/>
    <w:basedOn w:val="1"/>
    <w:next w:val="1"/>
    <w:unhideWhenUsed/>
    <w:qFormat/>
    <w:uiPriority w:val="99"/>
    <w:pPr>
      <w:ind w:firstLine="420" w:firstLineChars="200"/>
    </w:pPr>
    <w:rPr>
      <w:rFonts w:ascii="Times New Roman" w:hAnsi="Times New Roman"/>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2024-07-12T12:50:43Z</dcterms:created>
  <dc:creator>lenovo</dc:creator>
  <cp:lastModifiedBy>lenovo</cp:lastModifiedBy>
  <dcterms:modified xsi:type="dcterms:W3CDTF">2024-07-12T12:51:10Z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9FE47922D37C41A1AB131C67AFEEB2F9_12</vt:lpwstr>
  </property>
</Properties>
</file>