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adjustRightInd/>
        <w:spacing w:before="480" w:line="276" w:lineRule="auto"/>
        <w:jc w:val="center"/>
        <w:rPr>
          <w:rFonts w:ascii="方正小标宋简体" w:hAnsi="Cambria" w:eastAsia="方正小标宋简体"/>
          <w:b/>
          <w:bCs/>
          <w:kern w:val="0"/>
          <w:sz w:val="56"/>
          <w:szCs w:val="44"/>
          <w:lang w:val="zh-CN"/>
        </w:rPr>
      </w:pPr>
    </w:p>
    <w:p>
      <w:pPr>
        <w:snapToGrid w:val="0"/>
        <w:spacing w:line="360" w:lineRule="auto"/>
        <w:jc w:val="center"/>
        <w:rPr>
          <w:rFonts w:ascii="华文中宋" w:hAnsi="华文中宋" w:eastAsia="华文中宋"/>
          <w:sz w:val="52"/>
          <w:szCs w:val="52"/>
        </w:rPr>
      </w:pPr>
      <w:r>
        <w:rPr>
          <w:rFonts w:hint="eastAsia" w:ascii="华文中宋" w:hAnsi="华文中宋" w:eastAsia="华文中宋"/>
          <w:sz w:val="52"/>
          <w:szCs w:val="52"/>
        </w:rPr>
        <w:t>广东法院粤港澳大湾区</w:t>
      </w:r>
    </w:p>
    <w:p>
      <w:pPr>
        <w:snapToGrid w:val="0"/>
        <w:spacing w:line="360" w:lineRule="auto"/>
        <w:jc w:val="center"/>
        <w:rPr>
          <w:rFonts w:ascii="华文中宋" w:hAnsi="华文中宋" w:eastAsia="华文中宋"/>
          <w:sz w:val="52"/>
          <w:szCs w:val="52"/>
        </w:rPr>
      </w:pPr>
      <w:r>
        <w:rPr>
          <w:rFonts w:hint="eastAsia" w:ascii="华文中宋" w:hAnsi="华文中宋" w:eastAsia="华文中宋"/>
          <w:sz w:val="52"/>
          <w:szCs w:val="52"/>
        </w:rPr>
        <w:t xml:space="preserve">跨境纠纷典型案例 </w:t>
      </w:r>
    </w:p>
    <w:p>
      <w:pPr>
        <w:snapToGrid w:val="0"/>
        <w:spacing w:line="360" w:lineRule="auto"/>
        <w:jc w:val="center"/>
        <w:rPr>
          <w:rFonts w:ascii="华文中宋" w:hAnsi="华文中宋" w:eastAsia="华文中宋"/>
          <w:sz w:val="52"/>
          <w:szCs w:val="52"/>
        </w:rPr>
      </w:pPr>
      <w:r>
        <w:rPr>
          <w:rFonts w:hint="eastAsia" w:eastAsia="方正小标宋简体"/>
          <w:sz w:val="48"/>
          <w:szCs w:val="30"/>
        </w:rPr>
        <w:t>（第四批）</w:t>
      </w:r>
    </w:p>
    <w:p>
      <w:pPr>
        <w:rPr>
          <w:rFonts w:ascii="华文中宋" w:hAnsi="华文中宋" w:eastAsia="华文中宋"/>
          <w:sz w:val="52"/>
          <w:szCs w:val="52"/>
        </w:rPr>
      </w:pPr>
      <w:r>
        <w:rPr>
          <w:rFonts w:ascii="华文中宋" w:hAnsi="华文中宋" w:eastAsia="华文中宋"/>
          <w:sz w:val="52"/>
          <w:szCs w:val="52"/>
        </w:rPr>
        <w:br w:type="page"/>
      </w:r>
    </w:p>
    <w:p>
      <w:pPr>
        <w:keepNext/>
        <w:keepLines/>
        <w:widowControl/>
        <w:adjustRightInd/>
        <w:spacing w:before="480" w:line="276" w:lineRule="auto"/>
        <w:jc w:val="center"/>
        <w:rPr>
          <w:rFonts w:ascii="方正小标宋简体" w:hAnsi="Cambria" w:eastAsia="方正小标宋简体"/>
          <w:b/>
          <w:bCs/>
          <w:kern w:val="0"/>
          <w:sz w:val="56"/>
          <w:szCs w:val="44"/>
          <w:lang w:val="zh-CN"/>
        </w:rPr>
      </w:pPr>
      <w:bookmarkStart w:id="49" w:name="_GoBack"/>
      <w:bookmarkEnd w:id="49"/>
      <w:r>
        <w:rPr>
          <w:rFonts w:hint="eastAsia" w:ascii="方正小标宋简体" w:hAnsi="Cambria" w:eastAsia="方正小标宋简体"/>
          <w:b/>
          <w:bCs/>
          <w:kern w:val="0"/>
          <w:sz w:val="56"/>
          <w:szCs w:val="44"/>
          <w:lang w:val="zh-CN"/>
        </w:rPr>
        <w:t>目 录</w:t>
      </w:r>
    </w:p>
    <w:p>
      <w:pPr>
        <w:rPr>
          <w:lang w:val="zh-CN"/>
        </w:rPr>
      </w:pPr>
    </w:p>
    <w:p>
      <w:pPr>
        <w:pStyle w:val="6"/>
        <w:tabs>
          <w:tab w:val="right" w:leader="dot" w:pos="8296"/>
        </w:tabs>
        <w:rPr>
          <w:rFonts w:ascii="Calibri" w:hAnsi="Calibri"/>
          <w:sz w:val="30"/>
          <w:szCs w:val="30"/>
        </w:rPr>
      </w:pPr>
      <w:r>
        <w:rPr>
          <w:rFonts w:ascii="方正小标宋简体" w:eastAsia="方正小标宋简体"/>
          <w:sz w:val="30"/>
          <w:szCs w:val="30"/>
        </w:rPr>
        <w:t xml:space="preserve">1 </w:t>
      </w:r>
      <w:r>
        <w:rPr>
          <w:rFonts w:hint="eastAsia" w:ascii="方正小标宋简体" w:eastAsia="方正小标宋简体"/>
          <w:sz w:val="30"/>
          <w:szCs w:val="30"/>
        </w:rPr>
        <w:fldChar w:fldCharType="begin"/>
      </w:r>
      <w:r>
        <w:rPr>
          <w:rFonts w:ascii="方正小标宋简体" w:eastAsia="方正小标宋简体"/>
          <w:sz w:val="30"/>
          <w:szCs w:val="30"/>
        </w:rPr>
        <w:instrText xml:space="preserve"> TOC \o "1-3" \h \z \u </w:instrText>
      </w:r>
      <w:r>
        <w:rPr>
          <w:rFonts w:hint="eastAsia" w:ascii="方正小标宋简体" w:eastAsia="方正小标宋简体"/>
          <w:sz w:val="30"/>
          <w:szCs w:val="30"/>
        </w:rPr>
        <w:fldChar w:fldCharType="separate"/>
      </w:r>
      <w:r>
        <w:fldChar w:fldCharType="begin"/>
      </w:r>
      <w:r>
        <w:instrText xml:space="preserve"> HYPERLINK \l "_Toc101189332" </w:instrText>
      </w:r>
      <w:r>
        <w:fldChar w:fldCharType="separate"/>
      </w:r>
      <w:r>
        <w:rPr>
          <w:rStyle w:val="9"/>
          <w:rFonts w:hint="eastAsia" w:ascii="方正小标宋简体" w:eastAsia="方正小标宋简体"/>
          <w:color w:val="auto"/>
          <w:kern w:val="44"/>
          <w:sz w:val="30"/>
          <w:szCs w:val="30"/>
          <w:u w:val="none"/>
        </w:rPr>
        <w:t>人防公司诉粤和兴公司、太平洋保险深圳分公司</w:t>
      </w:r>
      <w:r>
        <w:rPr>
          <w:sz w:val="30"/>
          <w:szCs w:val="30"/>
        </w:rPr>
        <w:tab/>
      </w:r>
      <w:r>
        <w:rPr>
          <w:sz w:val="30"/>
          <w:szCs w:val="30"/>
        </w:rPr>
        <w:fldChar w:fldCharType="end"/>
      </w:r>
      <w:r>
        <w:rPr>
          <w:rStyle w:val="9"/>
          <w:rFonts w:hint="eastAsia" w:ascii="方正小标宋简体" w:eastAsia="方正小标宋简体"/>
          <w:color w:val="auto"/>
          <w:kern w:val="44"/>
          <w:sz w:val="30"/>
          <w:szCs w:val="30"/>
          <w:u w:val="none"/>
        </w:rPr>
        <w:t>侵权责任纠纷案</w:t>
      </w:r>
      <w:r>
        <w:fldChar w:fldCharType="begin"/>
      </w:r>
      <w:r>
        <w:instrText xml:space="preserve"> HYPERLINK \l "_Toc101189334" </w:instrText>
      </w:r>
      <w:r>
        <w:fldChar w:fldCharType="separate"/>
      </w:r>
      <w:r>
        <w:rPr>
          <w:rStyle w:val="9"/>
          <w:rFonts w:hint="eastAsia" w:ascii="楷体_GB2312" w:eastAsia="楷体_GB2312"/>
          <w:color w:val="auto"/>
          <w:kern w:val="44"/>
          <w:sz w:val="30"/>
          <w:szCs w:val="30"/>
          <w:u w:val="none"/>
        </w:rPr>
        <w:t>——认定国际帆船比赛中无故意或者重大过失的参赛者</w:t>
      </w:r>
      <w:r>
        <w:rPr>
          <w:rStyle w:val="9"/>
          <w:rFonts w:hint="eastAsia" w:ascii="楷体_GB2312" w:eastAsia="楷体_GB2312"/>
          <w:color w:val="auto"/>
          <w:kern w:val="44"/>
          <w:sz w:val="30"/>
          <w:szCs w:val="30"/>
          <w:u w:val="none"/>
        </w:rPr>
        <w:fldChar w:fldCharType="end"/>
      </w:r>
      <w:r>
        <w:fldChar w:fldCharType="begin"/>
      </w:r>
      <w:r>
        <w:instrText xml:space="preserve"> HYPERLINK \l "_Toc101189335" </w:instrText>
      </w:r>
      <w:r>
        <w:fldChar w:fldCharType="separate"/>
      </w:r>
      <w:r>
        <w:rPr>
          <w:rStyle w:val="9"/>
          <w:rFonts w:hint="eastAsia" w:ascii="楷体_GB2312" w:eastAsia="楷体_GB2312"/>
          <w:color w:val="auto"/>
          <w:kern w:val="44"/>
          <w:sz w:val="30"/>
          <w:szCs w:val="30"/>
          <w:u w:val="none"/>
        </w:rPr>
        <w:t>对碰撞事故不承担责任，完善赛事侵权规则</w:t>
      </w:r>
      <w:r>
        <w:rPr>
          <w:sz w:val="30"/>
          <w:szCs w:val="30"/>
        </w:rPr>
        <w:tab/>
      </w:r>
      <w:r>
        <w:rPr>
          <w:sz w:val="30"/>
          <w:szCs w:val="30"/>
        </w:rPr>
        <w:fldChar w:fldCharType="begin"/>
      </w:r>
      <w:r>
        <w:rPr>
          <w:sz w:val="30"/>
          <w:szCs w:val="30"/>
        </w:rPr>
        <w:instrText xml:space="preserve"> PAGEREF _Toc101189335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6"/>
        <w:tabs>
          <w:tab w:val="right" w:leader="dot" w:pos="8296"/>
        </w:tabs>
        <w:rPr>
          <w:rStyle w:val="9"/>
          <w:color w:val="auto"/>
          <w:sz w:val="30"/>
          <w:szCs w:val="30"/>
          <w:u w:val="none"/>
        </w:rPr>
      </w:pPr>
      <w:r>
        <w:rPr>
          <w:rStyle w:val="9"/>
          <w:rFonts w:hint="eastAsia" w:ascii="方正小标宋简体" w:eastAsia="方正小标宋简体"/>
          <w:color w:val="auto"/>
          <w:sz w:val="30"/>
          <w:szCs w:val="30"/>
          <w:u w:val="none"/>
        </w:rPr>
        <w:t xml:space="preserve">2 </w:t>
      </w:r>
      <w:r>
        <w:fldChar w:fldCharType="begin"/>
      </w:r>
      <w:r>
        <w:instrText xml:space="preserve"> HYPERLINK \l "_Toc101189343" </w:instrText>
      </w:r>
      <w:r>
        <w:fldChar w:fldCharType="separate"/>
      </w:r>
      <w:r>
        <w:rPr>
          <w:rStyle w:val="9"/>
          <w:rFonts w:hint="eastAsia" w:ascii="方正小标宋简体" w:eastAsia="方正小标宋简体"/>
          <w:color w:val="auto"/>
          <w:kern w:val="44"/>
          <w:sz w:val="30"/>
          <w:szCs w:val="30"/>
          <w:u w:val="none"/>
        </w:rPr>
        <w:t>蓝某诉马高公司与公司有关的民事纠纷案</w:t>
      </w:r>
      <w:r>
        <w:rPr>
          <w:rStyle w:val="9"/>
          <w:rFonts w:hint="eastAsia" w:ascii="方正小标宋简体" w:eastAsia="方正小标宋简体"/>
          <w:color w:val="auto"/>
          <w:kern w:val="44"/>
          <w:sz w:val="30"/>
          <w:szCs w:val="30"/>
          <w:u w:val="none"/>
        </w:rPr>
        <w:fldChar w:fldCharType="end"/>
      </w:r>
      <w:r>
        <w:fldChar w:fldCharType="begin"/>
      </w:r>
      <w:r>
        <w:instrText xml:space="preserve"> HYPERLINK \l "_Toc101189344" </w:instrText>
      </w:r>
      <w:r>
        <w:fldChar w:fldCharType="separate"/>
      </w:r>
      <w:r>
        <w:rPr>
          <w:rStyle w:val="9"/>
          <w:rFonts w:hint="eastAsia" w:ascii="楷体_GB2312" w:eastAsia="楷体_GB2312"/>
          <w:color w:val="auto"/>
          <w:kern w:val="44"/>
          <w:sz w:val="30"/>
          <w:szCs w:val="30"/>
          <w:u w:val="none"/>
        </w:rPr>
        <w:t>——适用香港法律保护香港公司董事知情权，</w:t>
      </w:r>
      <w:r>
        <w:rPr>
          <w:rStyle w:val="9"/>
          <w:rFonts w:hint="eastAsia" w:ascii="楷体_GB2312" w:eastAsia="楷体_GB2312"/>
          <w:color w:val="auto"/>
          <w:kern w:val="44"/>
          <w:sz w:val="30"/>
          <w:szCs w:val="30"/>
          <w:u w:val="none"/>
        </w:rPr>
        <w:fldChar w:fldCharType="end"/>
      </w:r>
      <w:r>
        <w:fldChar w:fldCharType="begin"/>
      </w:r>
      <w:r>
        <w:instrText xml:space="preserve"> HYPERLINK \l "_Toc101189345" </w:instrText>
      </w:r>
      <w:r>
        <w:fldChar w:fldCharType="separate"/>
      </w:r>
      <w:r>
        <w:rPr>
          <w:rStyle w:val="9"/>
          <w:rFonts w:hint="eastAsia" w:ascii="楷体_GB2312" w:eastAsia="楷体_GB2312"/>
          <w:color w:val="auto"/>
          <w:kern w:val="44"/>
          <w:sz w:val="30"/>
          <w:szCs w:val="30"/>
          <w:u w:val="none"/>
        </w:rPr>
        <w:t>规范公司治理</w:t>
      </w:r>
      <w:r>
        <w:rPr>
          <w:sz w:val="30"/>
          <w:szCs w:val="30"/>
        </w:rPr>
        <w:tab/>
      </w:r>
      <w:r>
        <w:rPr>
          <w:sz w:val="30"/>
          <w:szCs w:val="30"/>
        </w:rPr>
        <w:fldChar w:fldCharType="begin"/>
      </w:r>
      <w:r>
        <w:rPr>
          <w:sz w:val="30"/>
          <w:szCs w:val="30"/>
        </w:rPr>
        <w:instrText xml:space="preserve"> PAGEREF _Toc101189345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3 </w:t>
      </w:r>
      <w:r>
        <w:fldChar w:fldCharType="begin"/>
      </w:r>
      <w:r>
        <w:instrText xml:space="preserve"> HYPERLINK \l "_Toc101189353" </w:instrText>
      </w:r>
      <w:r>
        <w:fldChar w:fldCharType="separate"/>
      </w:r>
      <w:r>
        <w:rPr>
          <w:rStyle w:val="9"/>
          <w:rFonts w:hint="eastAsia" w:ascii="方正小标宋简体" w:eastAsia="方正小标宋简体"/>
          <w:color w:val="auto"/>
          <w:kern w:val="44"/>
          <w:sz w:val="30"/>
          <w:szCs w:val="30"/>
          <w:u w:val="none"/>
        </w:rPr>
        <w:t>广发信德公司诉富领公司等与公司有关的民事纠纷案</w:t>
      </w:r>
      <w:r>
        <w:rPr>
          <w:rStyle w:val="9"/>
          <w:rFonts w:hint="eastAsia" w:ascii="方正小标宋简体" w:eastAsia="方正小标宋简体"/>
          <w:color w:val="auto"/>
          <w:kern w:val="44"/>
          <w:sz w:val="30"/>
          <w:szCs w:val="30"/>
          <w:u w:val="none"/>
        </w:rPr>
        <w:fldChar w:fldCharType="end"/>
      </w:r>
      <w:r>
        <w:rPr>
          <w:rFonts w:hint="eastAsia" w:ascii="Calibri" w:hAnsi="Calibri"/>
          <w:sz w:val="30"/>
          <w:szCs w:val="30"/>
        </w:rPr>
        <w:t>——</w:t>
      </w:r>
      <w:r>
        <w:fldChar w:fldCharType="begin"/>
      </w:r>
      <w:r>
        <w:instrText xml:space="preserve"> HYPERLINK \l "_Toc101189354" </w:instrText>
      </w:r>
      <w:r>
        <w:fldChar w:fldCharType="separate"/>
      </w:r>
      <w:r>
        <w:rPr>
          <w:rStyle w:val="9"/>
          <w:rFonts w:hint="eastAsia" w:ascii="楷体_GB2312" w:eastAsia="楷体_GB2312"/>
          <w:color w:val="auto"/>
          <w:kern w:val="44"/>
          <w:sz w:val="30"/>
          <w:szCs w:val="30"/>
          <w:u w:val="none"/>
        </w:rPr>
        <w:t>适当履行跨境“对赌协议”，保护投融资双方合法权益</w:t>
      </w:r>
      <w:r>
        <w:rPr>
          <w:sz w:val="30"/>
          <w:szCs w:val="30"/>
        </w:rPr>
        <w:tab/>
      </w:r>
      <w:r>
        <w:rPr>
          <w:sz w:val="30"/>
          <w:szCs w:val="30"/>
        </w:rPr>
        <w:fldChar w:fldCharType="begin"/>
      </w:r>
      <w:r>
        <w:rPr>
          <w:sz w:val="30"/>
          <w:szCs w:val="30"/>
        </w:rPr>
        <w:instrText xml:space="preserve"> PAGEREF _Toc101189354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4 </w:t>
      </w:r>
      <w:r>
        <w:fldChar w:fldCharType="begin"/>
      </w:r>
      <w:r>
        <w:instrText xml:space="preserve"> HYPERLINK \l "_Toc101189346" </w:instrText>
      </w:r>
      <w:r>
        <w:fldChar w:fldCharType="separate"/>
      </w:r>
      <w:r>
        <w:rPr>
          <w:rStyle w:val="9"/>
          <w:rFonts w:hint="eastAsia" w:ascii="方正小标宋简体" w:eastAsia="方正小标宋简体"/>
          <w:color w:val="auto"/>
          <w:kern w:val="44"/>
          <w:sz w:val="30"/>
          <w:szCs w:val="30"/>
          <w:u w:val="none"/>
        </w:rPr>
        <w:t>周某仪等诉罗某胜等与公司有关的纠纷案</w:t>
      </w:r>
      <w:r>
        <w:rPr>
          <w:sz w:val="30"/>
          <w:szCs w:val="30"/>
        </w:rPr>
        <w:tab/>
      </w:r>
      <w:r>
        <w:rPr>
          <w:sz w:val="30"/>
          <w:szCs w:val="30"/>
        </w:rPr>
        <w:fldChar w:fldCharType="end"/>
      </w:r>
      <w:r>
        <w:fldChar w:fldCharType="begin"/>
      </w:r>
      <w:r>
        <w:instrText xml:space="preserve"> HYPERLINK \l "_Toc101189347" </w:instrText>
      </w:r>
      <w:r>
        <w:fldChar w:fldCharType="separate"/>
      </w:r>
      <w:r>
        <w:rPr>
          <w:rStyle w:val="9"/>
          <w:rFonts w:hint="eastAsia" w:ascii="楷体_GB2312" w:eastAsia="楷体_GB2312"/>
          <w:color w:val="auto"/>
          <w:kern w:val="44"/>
          <w:sz w:val="30"/>
          <w:szCs w:val="30"/>
          <w:u w:val="none"/>
        </w:rPr>
        <w:t>——精准识别正确援引冲突规范，妥善化解跨境商事纠纷</w:t>
      </w:r>
      <w:r>
        <w:rPr>
          <w:sz w:val="30"/>
          <w:szCs w:val="30"/>
        </w:rPr>
        <w:tab/>
      </w:r>
      <w:r>
        <w:rPr>
          <w:sz w:val="30"/>
          <w:szCs w:val="30"/>
        </w:rPr>
        <w:fldChar w:fldCharType="begin"/>
      </w:r>
      <w:r>
        <w:rPr>
          <w:sz w:val="30"/>
          <w:szCs w:val="30"/>
        </w:rPr>
        <w:instrText xml:space="preserve"> PAGEREF _Toc101189347 \h </w:instrText>
      </w:r>
      <w:r>
        <w:rPr>
          <w:sz w:val="30"/>
          <w:szCs w:val="30"/>
        </w:rPr>
        <w:fldChar w:fldCharType="separate"/>
      </w:r>
      <w:r>
        <w:rPr>
          <w:sz w:val="30"/>
          <w:szCs w:val="30"/>
        </w:rPr>
        <w:t>12</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5</w:t>
      </w:r>
      <w:r>
        <w:rPr>
          <w:rStyle w:val="9"/>
          <w:rFonts w:hint="eastAsia"/>
          <w:color w:val="auto"/>
          <w:sz w:val="30"/>
          <w:szCs w:val="30"/>
          <w:u w:val="none"/>
        </w:rPr>
        <w:t xml:space="preserve"> </w:t>
      </w:r>
      <w:r>
        <w:fldChar w:fldCharType="begin"/>
      </w:r>
      <w:r>
        <w:instrText xml:space="preserve"> HYPERLINK \l "_Toc101189355" </w:instrText>
      </w:r>
      <w:r>
        <w:fldChar w:fldCharType="separate"/>
      </w:r>
      <w:r>
        <w:rPr>
          <w:rStyle w:val="9"/>
          <w:rFonts w:hint="eastAsia" w:ascii="方正小标宋简体" w:eastAsia="方正小标宋简体"/>
          <w:color w:val="auto"/>
          <w:kern w:val="44"/>
          <w:sz w:val="30"/>
          <w:szCs w:val="30"/>
          <w:u w:val="none"/>
        </w:rPr>
        <w:t>彭某明诉绿缘公司解散公司纠纷案</w:t>
      </w:r>
      <w:r>
        <w:rPr>
          <w:rStyle w:val="9"/>
          <w:rFonts w:hint="eastAsia" w:ascii="方正小标宋简体" w:eastAsia="方正小标宋简体"/>
          <w:color w:val="auto"/>
          <w:kern w:val="44"/>
          <w:sz w:val="30"/>
          <w:szCs w:val="30"/>
          <w:u w:val="none"/>
        </w:rPr>
        <w:fldChar w:fldCharType="end"/>
      </w:r>
      <w:r>
        <w:fldChar w:fldCharType="begin"/>
      </w:r>
      <w:r>
        <w:instrText xml:space="preserve"> HYPERLINK \l "_Toc101189356" </w:instrText>
      </w:r>
      <w:r>
        <w:fldChar w:fldCharType="separate"/>
      </w:r>
      <w:r>
        <w:rPr>
          <w:rStyle w:val="9"/>
          <w:rFonts w:hint="eastAsia" w:ascii="楷体_GB2312" w:eastAsia="楷体_GB2312"/>
          <w:color w:val="auto"/>
          <w:kern w:val="44"/>
          <w:sz w:val="30"/>
          <w:szCs w:val="30"/>
          <w:u w:val="none"/>
        </w:rPr>
        <w:t>——审慎认定港资公司僵局，保护股东合法权益</w:t>
      </w:r>
      <w:r>
        <w:rPr>
          <w:sz w:val="30"/>
          <w:szCs w:val="30"/>
        </w:rPr>
        <w:tab/>
      </w:r>
      <w:r>
        <w:rPr>
          <w:sz w:val="30"/>
          <w:szCs w:val="30"/>
        </w:rPr>
        <w:fldChar w:fldCharType="begin"/>
      </w:r>
      <w:r>
        <w:rPr>
          <w:sz w:val="30"/>
          <w:szCs w:val="30"/>
        </w:rPr>
        <w:instrText xml:space="preserve"> PAGEREF _Toc101189356 \h </w:instrText>
      </w:r>
      <w:r>
        <w:rPr>
          <w:sz w:val="30"/>
          <w:szCs w:val="30"/>
        </w:rPr>
        <w:fldChar w:fldCharType="separate"/>
      </w:r>
      <w:r>
        <w:rPr>
          <w:sz w:val="30"/>
          <w:szCs w:val="30"/>
        </w:rPr>
        <w:t>14</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6</w:t>
      </w:r>
      <w:r>
        <w:rPr>
          <w:rStyle w:val="9"/>
          <w:rFonts w:hint="eastAsia"/>
          <w:color w:val="auto"/>
          <w:sz w:val="30"/>
          <w:szCs w:val="30"/>
          <w:u w:val="none"/>
        </w:rPr>
        <w:t xml:space="preserve"> </w:t>
      </w:r>
      <w:r>
        <w:fldChar w:fldCharType="begin"/>
      </w:r>
      <w:r>
        <w:instrText xml:space="preserve"> HYPERLINK \l "_Toc101189359" </w:instrText>
      </w:r>
      <w:r>
        <w:fldChar w:fldCharType="separate"/>
      </w:r>
      <w:r>
        <w:rPr>
          <w:rStyle w:val="9"/>
          <w:rFonts w:hint="eastAsia" w:ascii="方正小标宋简体" w:eastAsia="方正小标宋简体"/>
          <w:color w:val="auto"/>
          <w:kern w:val="44"/>
          <w:sz w:val="30"/>
          <w:szCs w:val="30"/>
          <w:u w:val="none"/>
        </w:rPr>
        <w:t>关某诉介某等合伙企业财产份额转让纠纷案</w:t>
      </w:r>
      <w:r>
        <w:rPr>
          <w:sz w:val="30"/>
          <w:szCs w:val="30"/>
        </w:rPr>
        <w:tab/>
      </w:r>
      <w:r>
        <w:rPr>
          <w:rFonts w:hint="eastAsia"/>
          <w:sz w:val="30"/>
          <w:szCs w:val="30"/>
        </w:rPr>
        <w:t>——</w:t>
      </w:r>
      <w:r>
        <w:rPr>
          <w:rFonts w:hint="eastAsia"/>
          <w:sz w:val="30"/>
          <w:szCs w:val="30"/>
        </w:rPr>
        <w:fldChar w:fldCharType="end"/>
      </w:r>
      <w:r>
        <w:rPr>
          <w:rStyle w:val="9"/>
          <w:rFonts w:hint="eastAsia" w:ascii="楷体_GB2312" w:eastAsia="楷体_GB2312"/>
          <w:color w:val="auto"/>
          <w:kern w:val="44"/>
          <w:sz w:val="30"/>
          <w:szCs w:val="30"/>
          <w:u w:val="none"/>
        </w:rPr>
        <w:t>依约认定员工辞职后股权激励份额归属，</w:t>
      </w:r>
      <w:r>
        <w:fldChar w:fldCharType="begin"/>
      </w:r>
      <w:r>
        <w:instrText xml:space="preserve"> HYPERLINK \l "_Toc101189360" </w:instrText>
      </w:r>
      <w:r>
        <w:fldChar w:fldCharType="separate"/>
      </w:r>
      <w:r>
        <w:rPr>
          <w:rStyle w:val="9"/>
          <w:rFonts w:hint="eastAsia" w:ascii="楷体_GB2312" w:eastAsia="楷体_GB2312"/>
          <w:color w:val="auto"/>
          <w:kern w:val="44"/>
          <w:sz w:val="30"/>
          <w:szCs w:val="30"/>
          <w:u w:val="none"/>
        </w:rPr>
        <w:t>保护跨境投资者权益</w:t>
      </w:r>
      <w:r>
        <w:rPr>
          <w:sz w:val="30"/>
          <w:szCs w:val="30"/>
        </w:rPr>
        <w:tab/>
      </w:r>
      <w:r>
        <w:rPr>
          <w:rStyle w:val="9"/>
          <w:rFonts w:ascii="楷体_GB2312" w:eastAsia="楷体_GB2312"/>
          <w:color w:val="auto"/>
          <w:kern w:val="44"/>
          <w:sz w:val="30"/>
          <w:szCs w:val="30"/>
          <w:u w:val="none"/>
        </w:rPr>
        <w:fldChar w:fldCharType="begin"/>
      </w:r>
      <w:r>
        <w:rPr>
          <w:rStyle w:val="9"/>
          <w:rFonts w:ascii="楷体_GB2312" w:eastAsia="楷体_GB2312"/>
          <w:color w:val="auto"/>
          <w:kern w:val="44"/>
          <w:sz w:val="30"/>
          <w:szCs w:val="30"/>
          <w:u w:val="none"/>
        </w:rPr>
        <w:instrText xml:space="preserve"> PAGEREF _Toc101189360 \h </w:instrText>
      </w:r>
      <w:r>
        <w:rPr>
          <w:rStyle w:val="9"/>
          <w:rFonts w:ascii="楷体_GB2312" w:eastAsia="楷体_GB2312"/>
          <w:color w:val="auto"/>
          <w:kern w:val="44"/>
          <w:sz w:val="30"/>
          <w:szCs w:val="30"/>
          <w:u w:val="none"/>
        </w:rPr>
        <w:fldChar w:fldCharType="separate"/>
      </w:r>
      <w:r>
        <w:rPr>
          <w:rStyle w:val="9"/>
          <w:rFonts w:ascii="楷体_GB2312" w:eastAsia="楷体_GB2312"/>
          <w:color w:val="auto"/>
          <w:kern w:val="44"/>
          <w:sz w:val="30"/>
          <w:szCs w:val="30"/>
          <w:u w:val="none"/>
        </w:rPr>
        <w:t>16</w:t>
      </w:r>
      <w:r>
        <w:rPr>
          <w:rStyle w:val="9"/>
          <w:rFonts w:ascii="楷体_GB2312" w:eastAsia="楷体_GB2312"/>
          <w:color w:val="auto"/>
          <w:kern w:val="44"/>
          <w:sz w:val="30"/>
          <w:szCs w:val="30"/>
          <w:u w:val="none"/>
        </w:rPr>
        <w:fldChar w:fldCharType="end"/>
      </w:r>
      <w:r>
        <w:rPr>
          <w:rStyle w:val="9"/>
          <w:rFonts w:ascii="楷体_GB2312" w:eastAsia="楷体_GB2312"/>
          <w:color w:val="auto"/>
          <w:kern w:val="44"/>
          <w:sz w:val="30"/>
          <w:szCs w:val="30"/>
          <w:u w:val="none"/>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7</w:t>
      </w:r>
      <w:r>
        <w:rPr>
          <w:rStyle w:val="9"/>
          <w:rFonts w:hint="eastAsia"/>
          <w:color w:val="auto"/>
          <w:sz w:val="30"/>
          <w:szCs w:val="30"/>
          <w:u w:val="none"/>
        </w:rPr>
        <w:t xml:space="preserve"> </w:t>
      </w:r>
      <w:r>
        <w:fldChar w:fldCharType="begin"/>
      </w:r>
      <w:r>
        <w:instrText xml:space="preserve"> HYPERLINK \l "_Toc101189340" </w:instrText>
      </w:r>
      <w:r>
        <w:fldChar w:fldCharType="separate"/>
      </w:r>
      <w:r>
        <w:rPr>
          <w:rStyle w:val="9"/>
          <w:rFonts w:hint="eastAsia" w:ascii="方正小标宋简体" w:eastAsia="方正小标宋简体"/>
          <w:color w:val="auto"/>
          <w:kern w:val="44"/>
          <w:sz w:val="30"/>
          <w:szCs w:val="30"/>
          <w:u w:val="none"/>
        </w:rPr>
        <w:t>陈某慈、青上公司诉陈某贵等侵权责任纠纷案</w:t>
      </w:r>
      <w:r>
        <w:rPr>
          <w:sz w:val="30"/>
          <w:szCs w:val="30"/>
        </w:rPr>
        <w:tab/>
      </w:r>
      <w:r>
        <w:rPr>
          <w:sz w:val="30"/>
          <w:szCs w:val="30"/>
        </w:rPr>
        <w:fldChar w:fldCharType="end"/>
      </w:r>
      <w:r>
        <w:fldChar w:fldCharType="begin"/>
      </w:r>
      <w:r>
        <w:instrText xml:space="preserve"> HYPERLINK \l "_Toc101189341" </w:instrText>
      </w:r>
      <w:r>
        <w:fldChar w:fldCharType="separate"/>
      </w:r>
      <w:r>
        <w:rPr>
          <w:rStyle w:val="9"/>
          <w:rFonts w:hint="eastAsia" w:ascii="楷体_GB2312" w:eastAsia="楷体_GB2312"/>
          <w:color w:val="auto"/>
          <w:kern w:val="44"/>
          <w:sz w:val="30"/>
          <w:szCs w:val="30"/>
          <w:u w:val="none"/>
        </w:rPr>
        <w:t>——适用香港法律认定香港公司股东会决议效力，</w:t>
      </w:r>
      <w:r>
        <w:rPr>
          <w:sz w:val="30"/>
          <w:szCs w:val="30"/>
        </w:rPr>
        <w:tab/>
      </w:r>
      <w:r>
        <w:rPr>
          <w:sz w:val="30"/>
          <w:szCs w:val="30"/>
        </w:rPr>
        <w:fldChar w:fldCharType="end"/>
      </w:r>
      <w:r>
        <w:fldChar w:fldCharType="begin"/>
      </w:r>
      <w:r>
        <w:instrText xml:space="preserve"> HYPERLINK \l "_Toc101189342" </w:instrText>
      </w:r>
      <w:r>
        <w:fldChar w:fldCharType="separate"/>
      </w:r>
      <w:r>
        <w:rPr>
          <w:rStyle w:val="9"/>
          <w:rFonts w:hint="eastAsia" w:ascii="楷体_GB2312" w:eastAsia="楷体_GB2312"/>
          <w:color w:val="auto"/>
          <w:kern w:val="44"/>
          <w:sz w:val="30"/>
          <w:szCs w:val="30"/>
          <w:u w:val="none"/>
        </w:rPr>
        <w:t>维护公司治理秩序</w:t>
      </w:r>
      <w:r>
        <w:rPr>
          <w:sz w:val="30"/>
          <w:szCs w:val="30"/>
        </w:rPr>
        <w:tab/>
      </w:r>
      <w:r>
        <w:rPr>
          <w:sz w:val="30"/>
          <w:szCs w:val="30"/>
        </w:rPr>
        <w:fldChar w:fldCharType="begin"/>
      </w:r>
      <w:r>
        <w:rPr>
          <w:sz w:val="30"/>
          <w:szCs w:val="30"/>
        </w:rPr>
        <w:instrText xml:space="preserve"> PAGEREF _Toc101189342 \h </w:instrText>
      </w:r>
      <w:r>
        <w:rPr>
          <w:sz w:val="30"/>
          <w:szCs w:val="30"/>
        </w:rPr>
        <w:fldChar w:fldCharType="separate"/>
      </w:r>
      <w:r>
        <w:rPr>
          <w:sz w:val="30"/>
          <w:szCs w:val="30"/>
        </w:rPr>
        <w:t>18</w:t>
      </w:r>
      <w:r>
        <w:rPr>
          <w:sz w:val="30"/>
          <w:szCs w:val="30"/>
        </w:rPr>
        <w:fldChar w:fldCharType="end"/>
      </w:r>
      <w:r>
        <w:rPr>
          <w:sz w:val="30"/>
          <w:szCs w:val="30"/>
        </w:rPr>
        <w:fldChar w:fldCharType="end"/>
      </w:r>
    </w:p>
    <w:p>
      <w:pPr>
        <w:pStyle w:val="6"/>
        <w:tabs>
          <w:tab w:val="right" w:leader="dot" w:pos="8296"/>
        </w:tabs>
        <w:rPr>
          <w:rFonts w:ascii="方正小标宋简体" w:eastAsia="方正小标宋简体"/>
          <w:kern w:val="44"/>
          <w:sz w:val="30"/>
          <w:szCs w:val="30"/>
        </w:rPr>
      </w:pPr>
      <w:r>
        <w:rPr>
          <w:rStyle w:val="9"/>
          <w:rFonts w:hint="eastAsia" w:ascii="方正小标宋简体" w:eastAsia="方正小标宋简体"/>
          <w:color w:val="auto"/>
          <w:sz w:val="30"/>
          <w:szCs w:val="30"/>
          <w:u w:val="none"/>
        </w:rPr>
        <w:t xml:space="preserve">8 </w:t>
      </w:r>
      <w:r>
        <w:fldChar w:fldCharType="begin"/>
      </w:r>
      <w:r>
        <w:instrText xml:space="preserve"> HYPERLINK \l "_Toc101189338" </w:instrText>
      </w:r>
      <w:r>
        <w:fldChar w:fldCharType="separate"/>
      </w:r>
      <w:r>
        <w:rPr>
          <w:rStyle w:val="9"/>
          <w:rFonts w:ascii="方正小标宋简体" w:eastAsia="方正小标宋简体"/>
          <w:color w:val="auto"/>
          <w:kern w:val="44"/>
          <w:sz w:val="30"/>
          <w:szCs w:val="30"/>
          <w:u w:val="none"/>
        </w:rPr>
        <w:t>澳门华人银行</w:t>
      </w:r>
      <w:r>
        <w:rPr>
          <w:rStyle w:val="9"/>
          <w:rFonts w:hint="eastAsia" w:ascii="方正小标宋简体" w:eastAsia="方正小标宋简体"/>
          <w:color w:val="auto"/>
          <w:kern w:val="44"/>
          <w:sz w:val="30"/>
          <w:szCs w:val="30"/>
          <w:u w:val="none"/>
        </w:rPr>
        <w:t>诉</w:t>
      </w:r>
      <w:r>
        <w:rPr>
          <w:rStyle w:val="9"/>
          <w:rFonts w:ascii="方正小标宋简体" w:eastAsia="方正小标宋简体"/>
          <w:color w:val="auto"/>
          <w:kern w:val="44"/>
          <w:sz w:val="30"/>
          <w:szCs w:val="30"/>
          <w:u w:val="none"/>
        </w:rPr>
        <w:t>周</w:t>
      </w:r>
      <w:r>
        <w:rPr>
          <w:rStyle w:val="9"/>
          <w:rFonts w:hint="eastAsia" w:ascii="方正小标宋简体" w:eastAsia="方正小标宋简体"/>
          <w:color w:val="auto"/>
          <w:kern w:val="44"/>
          <w:sz w:val="30"/>
          <w:szCs w:val="30"/>
          <w:u w:val="none"/>
        </w:rPr>
        <w:t>某</w:t>
      </w:r>
      <w:r>
        <w:rPr>
          <w:rStyle w:val="9"/>
          <w:rFonts w:ascii="方正小标宋简体" w:eastAsia="方正小标宋简体"/>
          <w:color w:val="auto"/>
          <w:kern w:val="44"/>
          <w:sz w:val="30"/>
          <w:szCs w:val="30"/>
          <w:u w:val="none"/>
        </w:rPr>
        <w:t>华、尹</w:t>
      </w:r>
      <w:r>
        <w:rPr>
          <w:rStyle w:val="9"/>
          <w:rFonts w:hint="eastAsia" w:ascii="方正小标宋简体" w:eastAsia="方正小标宋简体"/>
          <w:color w:val="auto"/>
          <w:kern w:val="44"/>
          <w:sz w:val="30"/>
          <w:szCs w:val="30"/>
          <w:u w:val="none"/>
        </w:rPr>
        <w:t>某</w:t>
      </w:r>
      <w:r>
        <w:rPr>
          <w:rStyle w:val="9"/>
          <w:rFonts w:ascii="方正小标宋简体" w:eastAsia="方正小标宋简体"/>
          <w:color w:val="auto"/>
          <w:kern w:val="44"/>
          <w:sz w:val="30"/>
          <w:szCs w:val="30"/>
          <w:u w:val="none"/>
        </w:rPr>
        <w:t>艳金融借款合同纠纷案</w:t>
      </w:r>
      <w:r>
        <w:rPr>
          <w:rStyle w:val="9"/>
          <w:color w:val="auto"/>
          <w:sz w:val="30"/>
          <w:szCs w:val="30"/>
          <w:u w:val="none"/>
        </w:rPr>
        <w:tab/>
      </w:r>
      <w:r>
        <w:rPr>
          <w:rStyle w:val="9"/>
          <w:color w:val="auto"/>
          <w:sz w:val="30"/>
          <w:szCs w:val="30"/>
          <w:u w:val="none"/>
        </w:rPr>
        <w:fldChar w:fldCharType="end"/>
      </w:r>
      <w:r>
        <w:fldChar w:fldCharType="begin"/>
      </w:r>
      <w:r>
        <w:instrText xml:space="preserve"> HYPERLINK \l "_Toc101189339" </w:instrText>
      </w:r>
      <w:r>
        <w:fldChar w:fldCharType="separate"/>
      </w:r>
      <w:r>
        <w:rPr>
          <w:rStyle w:val="9"/>
          <w:rFonts w:hint="eastAsia" w:ascii="楷体_GB2312" w:eastAsia="楷体_GB2312"/>
          <w:color w:val="auto"/>
          <w:kern w:val="44"/>
          <w:sz w:val="30"/>
          <w:szCs w:val="30"/>
          <w:u w:val="none"/>
        </w:rPr>
        <w:t>——依约适用澳门法律解决跨境金融纠纷</w:t>
      </w:r>
      <w:r>
        <w:rPr>
          <w:rStyle w:val="9"/>
          <w:color w:val="auto"/>
          <w:sz w:val="30"/>
          <w:szCs w:val="30"/>
          <w:u w:val="none"/>
        </w:rPr>
        <w:tab/>
      </w:r>
      <w:r>
        <w:rPr>
          <w:rStyle w:val="9"/>
          <w:rFonts w:hint="eastAsia"/>
          <w:color w:val="auto"/>
          <w:sz w:val="30"/>
          <w:szCs w:val="30"/>
          <w:u w:val="none"/>
        </w:rPr>
        <w:t>20</w:t>
      </w:r>
      <w:r>
        <w:rPr>
          <w:rStyle w:val="9"/>
          <w:rFonts w:hint="eastAsia"/>
          <w:color w:val="auto"/>
          <w:sz w:val="30"/>
          <w:szCs w:val="30"/>
          <w:u w:val="none"/>
        </w:rPr>
        <w:fldChar w:fldCharType="end"/>
      </w:r>
    </w:p>
    <w:p>
      <w:pPr>
        <w:pStyle w:val="6"/>
        <w:tabs>
          <w:tab w:val="right" w:leader="dot" w:pos="8296"/>
        </w:tabs>
        <w:rPr>
          <w:rFonts w:ascii="方正小标宋简体" w:eastAsia="方正小标宋简体"/>
          <w:kern w:val="44"/>
          <w:sz w:val="30"/>
          <w:szCs w:val="30"/>
        </w:rPr>
      </w:pPr>
      <w:r>
        <w:rPr>
          <w:rStyle w:val="9"/>
          <w:rFonts w:hint="eastAsia" w:ascii="方正小标宋简体" w:eastAsia="方正小标宋简体"/>
          <w:color w:val="auto"/>
          <w:sz w:val="30"/>
          <w:szCs w:val="30"/>
          <w:u w:val="none"/>
        </w:rPr>
        <w:t xml:space="preserve">9 </w:t>
      </w:r>
      <w:r>
        <w:fldChar w:fldCharType="begin"/>
      </w:r>
      <w:r>
        <w:instrText xml:space="preserve">HYPERLINK \l "_Toc101189377"</w:instrText>
      </w:r>
      <w:r>
        <w:fldChar w:fldCharType="separate"/>
      </w:r>
      <w:r>
        <w:rPr>
          <w:rStyle w:val="9"/>
          <w:rFonts w:hint="eastAsia" w:ascii="方正小标宋简体" w:eastAsia="方正小标宋简体"/>
          <w:color w:val="auto"/>
          <w:kern w:val="44"/>
          <w:sz w:val="30"/>
          <w:szCs w:val="30"/>
          <w:u w:val="none"/>
        </w:rPr>
        <w:t>迦德公司诉诚禧贸易部、麦某转等买卖合同</w:t>
      </w:r>
      <w:r>
        <w:rPr>
          <w:rStyle w:val="9"/>
          <w:rFonts w:ascii="方正小标宋简体" w:eastAsia="方正小标宋简体"/>
          <w:color w:val="auto"/>
          <w:kern w:val="44"/>
          <w:sz w:val="30"/>
          <w:szCs w:val="30"/>
          <w:u w:val="none"/>
        </w:rPr>
        <w:t>纠纷案</w:t>
      </w:r>
      <w:r>
        <w:rPr>
          <w:rStyle w:val="9"/>
          <w:rFonts w:hint="eastAsia"/>
          <w:color w:val="auto"/>
          <w:sz w:val="30"/>
          <w:szCs w:val="30"/>
          <w:u w:val="none"/>
        </w:rPr>
        <w:t>——</w:t>
      </w:r>
      <w:r>
        <w:fldChar w:fldCharType="end"/>
      </w:r>
      <w:r>
        <w:rPr>
          <w:rFonts w:hint="eastAsia" w:ascii="楷体_GB2312" w:eastAsia="楷体_GB2312"/>
          <w:kern w:val="44"/>
          <w:sz w:val="30"/>
          <w:szCs w:val="30"/>
        </w:rPr>
        <w:t>在香港法院起诉构成在内地诉讼时效的中断</w:t>
      </w:r>
      <w:r>
        <w:fldChar w:fldCharType="begin"/>
      </w:r>
      <w:r>
        <w:instrText xml:space="preserve"> HYPERLINK \l "_Toc101189379" </w:instrText>
      </w:r>
      <w:r>
        <w:fldChar w:fldCharType="separate"/>
      </w:r>
      <w:r>
        <w:rPr>
          <w:sz w:val="30"/>
          <w:szCs w:val="30"/>
        </w:rPr>
        <w:tab/>
      </w:r>
      <w:r>
        <w:rPr>
          <w:rFonts w:hint="eastAsia"/>
          <w:sz w:val="30"/>
          <w:szCs w:val="30"/>
        </w:rPr>
        <w:t>21</w:t>
      </w:r>
      <w:r>
        <w:rPr>
          <w:rFonts w:hint="eastAsia"/>
          <w:sz w:val="30"/>
          <w:szCs w:val="30"/>
        </w:rPr>
        <w:fldChar w:fldCharType="end"/>
      </w:r>
    </w:p>
    <w:p>
      <w:pPr>
        <w:pStyle w:val="6"/>
        <w:tabs>
          <w:tab w:val="right" w:leader="dot" w:pos="8296"/>
        </w:tabs>
        <w:rPr>
          <w:rStyle w:val="9"/>
          <w:color w:val="auto"/>
          <w:sz w:val="30"/>
          <w:szCs w:val="30"/>
          <w:u w:val="none"/>
        </w:rPr>
      </w:pPr>
      <w:r>
        <w:rPr>
          <w:rFonts w:hint="eastAsia" w:ascii="方正小标宋简体" w:eastAsia="方正小标宋简体"/>
          <w:sz w:val="30"/>
          <w:szCs w:val="30"/>
        </w:rPr>
        <w:t xml:space="preserve">10 </w:t>
      </w:r>
      <w:r>
        <w:fldChar w:fldCharType="begin"/>
      </w:r>
      <w:r>
        <w:instrText xml:space="preserve"> HYPERLINK \l "_Toc101189336" </w:instrText>
      </w:r>
      <w:r>
        <w:fldChar w:fldCharType="separate"/>
      </w:r>
      <w:r>
        <w:rPr>
          <w:rStyle w:val="9"/>
          <w:rFonts w:hint="eastAsia" w:ascii="方正小标宋简体" w:eastAsia="方正小标宋简体"/>
          <w:color w:val="auto"/>
          <w:kern w:val="44"/>
          <w:sz w:val="30"/>
          <w:szCs w:val="30"/>
          <w:u w:val="none"/>
        </w:rPr>
        <w:t>徐某道诉梁某威居住权纠纷案</w:t>
      </w:r>
      <w:r>
        <w:rPr>
          <w:sz w:val="30"/>
          <w:szCs w:val="30"/>
        </w:rPr>
        <w:tab/>
      </w:r>
      <w:r>
        <w:rPr>
          <w:sz w:val="30"/>
          <w:szCs w:val="30"/>
        </w:rPr>
        <w:fldChar w:fldCharType="end"/>
      </w:r>
      <w:r>
        <w:fldChar w:fldCharType="begin"/>
      </w:r>
      <w:r>
        <w:instrText xml:space="preserve"> HYPERLINK \l "_Toc101189337" </w:instrText>
      </w:r>
      <w:r>
        <w:fldChar w:fldCharType="separate"/>
      </w:r>
      <w:r>
        <w:rPr>
          <w:rStyle w:val="9"/>
          <w:rFonts w:hint="eastAsia" w:ascii="楷体_GB2312" w:eastAsia="楷体_GB2312"/>
          <w:color w:val="auto"/>
          <w:kern w:val="44"/>
          <w:sz w:val="30"/>
          <w:szCs w:val="30"/>
          <w:u w:val="none"/>
        </w:rPr>
        <w:t>——适用民法典新规定保护当事人居住权</w:t>
      </w:r>
      <w:r>
        <w:rPr>
          <w:sz w:val="30"/>
          <w:szCs w:val="30"/>
        </w:rPr>
        <w:tab/>
      </w:r>
      <w:r>
        <w:rPr>
          <w:rFonts w:hint="eastAsia"/>
          <w:sz w:val="30"/>
          <w:szCs w:val="30"/>
        </w:rPr>
        <w:t>23</w:t>
      </w:r>
      <w:r>
        <w:rPr>
          <w:rFonts w:hint="eastAsia"/>
          <w:sz w:val="30"/>
          <w:szCs w:val="30"/>
        </w:rPr>
        <w:fldChar w:fldCharType="end"/>
      </w:r>
    </w:p>
    <w:p>
      <w:pPr>
        <w:pStyle w:val="6"/>
        <w:tabs>
          <w:tab w:val="right" w:leader="dot" w:pos="8296"/>
        </w:tabs>
        <w:rPr>
          <w:rFonts w:ascii="方正小标宋简体" w:eastAsia="方正小标宋简体"/>
          <w:sz w:val="30"/>
          <w:szCs w:val="30"/>
        </w:rPr>
      </w:pPr>
      <w:r>
        <w:rPr>
          <w:rStyle w:val="9"/>
          <w:rFonts w:hint="eastAsia" w:ascii="方正小标宋简体" w:eastAsia="方正小标宋简体"/>
          <w:color w:val="auto"/>
          <w:sz w:val="30"/>
          <w:szCs w:val="30"/>
          <w:u w:val="none"/>
        </w:rPr>
        <w:t xml:space="preserve">11 </w:t>
      </w:r>
      <w:r>
        <w:fldChar w:fldCharType="begin"/>
      </w:r>
      <w:r>
        <w:instrText xml:space="preserve"> HYPERLINK \l "_Toc101189357" </w:instrText>
      </w:r>
      <w:r>
        <w:fldChar w:fldCharType="separate"/>
      </w:r>
      <w:r>
        <w:rPr>
          <w:rStyle w:val="9"/>
          <w:rFonts w:hint="eastAsia" w:ascii="方正小标宋简体" w:eastAsia="方正小标宋简体"/>
          <w:color w:val="auto"/>
          <w:sz w:val="30"/>
          <w:szCs w:val="30"/>
          <w:u w:val="none"/>
        </w:rPr>
        <w:t>梁某培诉协城公司商品房预售合同纠纷案</w:t>
      </w:r>
      <w:r>
        <w:rPr>
          <w:rStyle w:val="9"/>
          <w:rFonts w:hint="eastAsia"/>
          <w:color w:val="auto"/>
          <w:sz w:val="30"/>
          <w:szCs w:val="30"/>
          <w:u w:val="none"/>
        </w:rPr>
        <w:t>——</w:t>
      </w:r>
      <w:r>
        <w:rPr>
          <w:rStyle w:val="9"/>
          <w:rFonts w:hint="eastAsia"/>
          <w:color w:val="auto"/>
          <w:sz w:val="30"/>
          <w:szCs w:val="30"/>
          <w:u w:val="none"/>
        </w:rPr>
        <w:fldChar w:fldCharType="end"/>
      </w:r>
      <w:r>
        <w:fldChar w:fldCharType="begin"/>
      </w:r>
      <w:r>
        <w:instrText xml:space="preserve"> HYPERLINK \l "_Toc101189358" </w:instrText>
      </w:r>
      <w:r>
        <w:fldChar w:fldCharType="separate"/>
      </w:r>
      <w:r>
        <w:rPr>
          <w:rStyle w:val="9"/>
          <w:rFonts w:hint="eastAsia" w:ascii="楷体_GB2312" w:eastAsia="楷体_GB2312"/>
          <w:color w:val="auto"/>
          <w:kern w:val="44"/>
          <w:sz w:val="30"/>
          <w:szCs w:val="30"/>
          <w:u w:val="none"/>
        </w:rPr>
        <w:t>依法判决履行“无理由退房”承诺，维护诚实信用</w:t>
      </w:r>
      <w:r>
        <w:rPr>
          <w:rStyle w:val="9"/>
          <w:color w:val="auto"/>
          <w:sz w:val="30"/>
          <w:szCs w:val="30"/>
          <w:u w:val="none"/>
        </w:rPr>
        <w:tab/>
      </w:r>
      <w:r>
        <w:rPr>
          <w:rStyle w:val="9"/>
          <w:rFonts w:hint="eastAsia"/>
          <w:color w:val="auto"/>
          <w:sz w:val="30"/>
          <w:szCs w:val="30"/>
          <w:u w:val="none"/>
        </w:rPr>
        <w:t>25</w:t>
      </w:r>
      <w:r>
        <w:rPr>
          <w:rStyle w:val="9"/>
          <w:rFonts w:hint="eastAsia"/>
          <w:color w:val="auto"/>
          <w:sz w:val="30"/>
          <w:szCs w:val="30"/>
          <w:u w:val="none"/>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12 赵某婷诉</w:t>
      </w:r>
      <w:r>
        <w:fldChar w:fldCharType="begin"/>
      </w:r>
      <w:r>
        <w:instrText xml:space="preserve">HYPERLINK \l "_Toc101189364"</w:instrText>
      </w:r>
      <w:r>
        <w:fldChar w:fldCharType="separate"/>
      </w:r>
      <w:r>
        <w:rPr>
          <w:rStyle w:val="9"/>
          <w:rFonts w:hint="eastAsia" w:ascii="方正小标宋简体" w:eastAsia="方正小标宋简体"/>
          <w:color w:val="auto"/>
          <w:kern w:val="44"/>
          <w:sz w:val="30"/>
          <w:szCs w:val="30"/>
          <w:u w:val="none"/>
        </w:rPr>
        <w:t>周某娣确认合同无效纠纷</w:t>
      </w:r>
      <w:r>
        <w:fldChar w:fldCharType="end"/>
      </w:r>
      <w:r>
        <w:fldChar w:fldCharType="begin"/>
      </w:r>
      <w:r>
        <w:instrText xml:space="preserve"> HYPERLINK \l "_Toc101189365" </w:instrText>
      </w:r>
      <w:r>
        <w:fldChar w:fldCharType="separate"/>
      </w:r>
      <w:r>
        <w:rPr>
          <w:rStyle w:val="9"/>
          <w:rFonts w:hint="eastAsia" w:ascii="楷体_GB2312" w:eastAsia="楷体_GB2312"/>
          <w:color w:val="auto"/>
          <w:kern w:val="44"/>
          <w:sz w:val="30"/>
          <w:szCs w:val="30"/>
          <w:u w:val="none"/>
        </w:rPr>
        <w:t>——准确认定涉港婚姻关系变化对夫妻财产关系的影响，</w:t>
      </w:r>
      <w:r>
        <w:rPr>
          <w:rStyle w:val="9"/>
          <w:rFonts w:hint="eastAsia" w:ascii="楷体_GB2312" w:eastAsia="楷体_GB2312"/>
          <w:color w:val="auto"/>
          <w:kern w:val="44"/>
          <w:sz w:val="30"/>
          <w:szCs w:val="30"/>
          <w:u w:val="none"/>
        </w:rPr>
        <w:fldChar w:fldCharType="end"/>
      </w:r>
      <w:r>
        <w:rPr>
          <w:rStyle w:val="9"/>
          <w:color w:val="auto"/>
          <w:sz w:val="30"/>
          <w:szCs w:val="30"/>
          <w:u w:val="none"/>
        </w:rPr>
        <w:t xml:space="preserve"> </w:t>
      </w:r>
      <w:r>
        <w:fldChar w:fldCharType="begin"/>
      </w:r>
      <w:r>
        <w:instrText xml:space="preserve"> HYPERLINK \l "_Toc101189366" </w:instrText>
      </w:r>
      <w:r>
        <w:fldChar w:fldCharType="separate"/>
      </w:r>
      <w:r>
        <w:rPr>
          <w:rStyle w:val="9"/>
          <w:rFonts w:hint="eastAsia" w:ascii="楷体_GB2312" w:eastAsia="楷体_GB2312"/>
          <w:color w:val="auto"/>
          <w:kern w:val="44"/>
          <w:sz w:val="30"/>
          <w:szCs w:val="30"/>
          <w:u w:val="none"/>
        </w:rPr>
        <w:t>保障当事人合法权益</w:t>
      </w:r>
      <w:r>
        <w:rPr>
          <w:sz w:val="30"/>
          <w:szCs w:val="30"/>
        </w:rPr>
        <w:tab/>
      </w:r>
      <w:r>
        <w:rPr>
          <w:sz w:val="30"/>
          <w:szCs w:val="30"/>
        </w:rPr>
        <w:fldChar w:fldCharType="begin"/>
      </w:r>
      <w:r>
        <w:rPr>
          <w:sz w:val="30"/>
          <w:szCs w:val="30"/>
        </w:rPr>
        <w:instrText xml:space="preserve"> PAGEREF _Toc101189366 \h </w:instrText>
      </w:r>
      <w:r>
        <w:rPr>
          <w:sz w:val="30"/>
          <w:szCs w:val="30"/>
        </w:rPr>
        <w:fldChar w:fldCharType="separate"/>
      </w:r>
      <w:r>
        <w:rPr>
          <w:sz w:val="30"/>
          <w:szCs w:val="30"/>
        </w:rPr>
        <w:t>27</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13 </w:t>
      </w:r>
      <w:r>
        <w:fldChar w:fldCharType="begin"/>
      </w:r>
      <w:r>
        <w:instrText xml:space="preserve"> HYPERLINK \l "_Toc101189348" </w:instrText>
      </w:r>
      <w:r>
        <w:fldChar w:fldCharType="separate"/>
      </w:r>
      <w:r>
        <w:rPr>
          <w:rStyle w:val="9"/>
          <w:rFonts w:hint="eastAsia" w:ascii="方正小标宋简体" w:eastAsia="方正小标宋简体"/>
          <w:color w:val="auto"/>
          <w:kern w:val="44"/>
          <w:sz w:val="30"/>
          <w:szCs w:val="30"/>
          <w:u w:val="none"/>
        </w:rPr>
        <w:t>霍尼韦尔公司诉林某鹏、林某权、林某畅</w:t>
      </w:r>
      <w:r>
        <w:rPr>
          <w:sz w:val="30"/>
          <w:szCs w:val="30"/>
        </w:rPr>
        <w:tab/>
      </w:r>
      <w:r>
        <w:rPr>
          <w:sz w:val="30"/>
          <w:szCs w:val="30"/>
        </w:rPr>
        <w:fldChar w:fldCharType="end"/>
      </w:r>
      <w:r>
        <w:fldChar w:fldCharType="begin"/>
      </w:r>
      <w:r>
        <w:instrText xml:space="preserve"> HYPERLINK \l "_Toc101189349" </w:instrText>
      </w:r>
      <w:r>
        <w:fldChar w:fldCharType="separate"/>
      </w:r>
      <w:r>
        <w:rPr>
          <w:rStyle w:val="9"/>
          <w:rFonts w:hint="eastAsia" w:ascii="方正小标宋简体" w:eastAsia="方正小标宋简体"/>
          <w:color w:val="auto"/>
          <w:kern w:val="44"/>
          <w:sz w:val="30"/>
          <w:szCs w:val="30"/>
          <w:u w:val="none"/>
        </w:rPr>
        <w:t>侵害商标权纠纷案</w:t>
      </w:r>
      <w:r>
        <w:rPr>
          <w:sz w:val="30"/>
          <w:szCs w:val="30"/>
        </w:rPr>
        <w:tab/>
      </w:r>
      <w:r>
        <w:rPr>
          <w:sz w:val="30"/>
          <w:szCs w:val="30"/>
        </w:rPr>
        <w:fldChar w:fldCharType="end"/>
      </w:r>
      <w:r>
        <w:fldChar w:fldCharType="begin"/>
      </w:r>
      <w:r>
        <w:instrText xml:space="preserve"> HYPERLINK \l "_Toc101189350" </w:instrText>
      </w:r>
      <w:r>
        <w:fldChar w:fldCharType="separate"/>
      </w:r>
      <w:r>
        <w:rPr>
          <w:rStyle w:val="9"/>
          <w:rFonts w:hint="eastAsia" w:ascii="楷体_GB2312" w:eastAsia="楷体_GB2312"/>
          <w:color w:val="auto"/>
          <w:kern w:val="44"/>
          <w:sz w:val="30"/>
          <w:szCs w:val="30"/>
          <w:u w:val="none"/>
        </w:rPr>
        <w:t>——依法惩治侵犯跨国企业商标权的行为，维护竞争秩序</w:t>
      </w:r>
      <w:r>
        <w:rPr>
          <w:sz w:val="30"/>
          <w:szCs w:val="30"/>
        </w:rPr>
        <w:tab/>
      </w:r>
      <w:r>
        <w:rPr>
          <w:sz w:val="30"/>
          <w:szCs w:val="30"/>
        </w:rPr>
        <w:fldChar w:fldCharType="begin"/>
      </w:r>
      <w:r>
        <w:rPr>
          <w:sz w:val="30"/>
          <w:szCs w:val="30"/>
        </w:rPr>
        <w:instrText xml:space="preserve"> PAGEREF _Toc101189350 \h </w:instrText>
      </w:r>
      <w:r>
        <w:rPr>
          <w:sz w:val="30"/>
          <w:szCs w:val="30"/>
        </w:rPr>
        <w:fldChar w:fldCharType="separate"/>
      </w:r>
      <w:r>
        <w:rPr>
          <w:sz w:val="30"/>
          <w:szCs w:val="30"/>
        </w:rPr>
        <w:t>29</w:t>
      </w:r>
      <w:r>
        <w:rPr>
          <w:sz w:val="30"/>
          <w:szCs w:val="30"/>
        </w:rPr>
        <w:fldChar w:fldCharType="end"/>
      </w:r>
      <w:r>
        <w:rPr>
          <w:sz w:val="30"/>
          <w:szCs w:val="30"/>
        </w:rPr>
        <w:fldChar w:fldCharType="end"/>
      </w:r>
    </w:p>
    <w:p>
      <w:pPr>
        <w:pStyle w:val="6"/>
        <w:tabs>
          <w:tab w:val="right" w:leader="dot" w:pos="8296"/>
        </w:tabs>
        <w:rPr>
          <w:rFonts w:ascii="方正小标宋简体" w:eastAsia="方正小标宋简体"/>
          <w:kern w:val="44"/>
          <w:sz w:val="30"/>
          <w:szCs w:val="30"/>
        </w:rPr>
      </w:pPr>
      <w:r>
        <w:rPr>
          <w:rStyle w:val="9"/>
          <w:rFonts w:hint="eastAsia" w:ascii="方正小标宋简体" w:eastAsia="方正小标宋简体"/>
          <w:color w:val="auto"/>
          <w:sz w:val="30"/>
          <w:szCs w:val="30"/>
          <w:u w:val="none"/>
        </w:rPr>
        <w:t>14</w:t>
      </w:r>
      <w:r>
        <w:rPr>
          <w:rStyle w:val="9"/>
          <w:rFonts w:hint="eastAsia"/>
          <w:color w:val="auto"/>
          <w:sz w:val="30"/>
          <w:szCs w:val="30"/>
          <w:u w:val="none"/>
        </w:rPr>
        <w:t xml:space="preserve"> </w:t>
      </w:r>
      <w:r>
        <w:rPr>
          <w:rStyle w:val="9"/>
          <w:rFonts w:hint="eastAsia" w:ascii="方正小标宋简体" w:eastAsia="方正小标宋简体"/>
          <w:color w:val="auto"/>
          <w:kern w:val="44"/>
          <w:sz w:val="30"/>
          <w:szCs w:val="30"/>
          <w:u w:val="none"/>
        </w:rPr>
        <w:t>星辉公司诉</w:t>
      </w:r>
      <w:r>
        <w:rPr>
          <w:rStyle w:val="9"/>
          <w:rFonts w:ascii="方正小标宋简体" w:eastAsia="方正小标宋简体"/>
          <w:color w:val="auto"/>
          <w:kern w:val="44"/>
          <w:sz w:val="30"/>
          <w:szCs w:val="30"/>
          <w:u w:val="none"/>
        </w:rPr>
        <w:fldChar w:fldCharType="begin"/>
      </w:r>
      <w:r>
        <w:rPr>
          <w:rStyle w:val="9"/>
          <w:rFonts w:ascii="方正小标宋简体" w:eastAsia="方正小标宋简体"/>
          <w:color w:val="auto"/>
          <w:kern w:val="44"/>
          <w:sz w:val="30"/>
          <w:szCs w:val="30"/>
          <w:u w:val="none"/>
        </w:rPr>
        <w:instrText xml:space="preserve">HYPERLINK \l "_Toc101189351"</w:instrText>
      </w:r>
      <w:r>
        <w:rPr>
          <w:rStyle w:val="9"/>
          <w:rFonts w:ascii="方正小标宋简体" w:eastAsia="方正小标宋简体"/>
          <w:color w:val="auto"/>
          <w:kern w:val="44"/>
          <w:sz w:val="30"/>
          <w:szCs w:val="30"/>
          <w:u w:val="none"/>
        </w:rPr>
        <w:fldChar w:fldCharType="separate"/>
      </w:r>
      <w:r>
        <w:rPr>
          <w:rStyle w:val="9"/>
          <w:rFonts w:hint="eastAsia" w:ascii="方正小标宋简体" w:eastAsia="方正小标宋简体"/>
          <w:color w:val="auto"/>
          <w:kern w:val="44"/>
          <w:sz w:val="30"/>
          <w:szCs w:val="30"/>
          <w:u w:val="none"/>
        </w:rPr>
        <w:t>正凯公司、李某不正当竞争纠纷案</w:t>
      </w:r>
      <w:r>
        <w:rPr>
          <w:rStyle w:val="9"/>
          <w:rFonts w:ascii="方正小标宋简体" w:eastAsia="方正小标宋简体"/>
          <w:color w:val="auto"/>
          <w:kern w:val="44"/>
          <w:sz w:val="30"/>
          <w:szCs w:val="30"/>
          <w:u w:val="none"/>
        </w:rPr>
        <w:tab/>
      </w:r>
      <w:r>
        <w:rPr>
          <w:rStyle w:val="9"/>
          <w:rFonts w:ascii="方正小标宋简体" w:eastAsia="方正小标宋简体"/>
          <w:color w:val="auto"/>
          <w:kern w:val="44"/>
          <w:sz w:val="30"/>
          <w:szCs w:val="30"/>
          <w:u w:val="none"/>
        </w:rPr>
        <w:fldChar w:fldCharType="end"/>
      </w:r>
      <w:r>
        <w:fldChar w:fldCharType="begin"/>
      </w:r>
      <w:r>
        <w:instrText xml:space="preserve"> HYPERLINK \l "_Toc101189352" </w:instrText>
      </w:r>
      <w:r>
        <w:fldChar w:fldCharType="separate"/>
      </w:r>
      <w:r>
        <w:rPr>
          <w:rStyle w:val="9"/>
          <w:rFonts w:hint="eastAsia" w:ascii="楷体_GB2312" w:eastAsia="楷体_GB2312"/>
          <w:color w:val="auto"/>
          <w:kern w:val="44"/>
          <w:sz w:val="30"/>
          <w:szCs w:val="30"/>
          <w:u w:val="none"/>
        </w:rPr>
        <w:t>——混淆知名电影作品名称构成不正当竞争</w:t>
      </w:r>
      <w:r>
        <w:rPr>
          <w:rStyle w:val="9"/>
          <w:color w:val="auto"/>
          <w:sz w:val="30"/>
          <w:szCs w:val="30"/>
          <w:u w:val="none"/>
        </w:rPr>
        <w:tab/>
      </w:r>
      <w:r>
        <w:rPr>
          <w:rStyle w:val="9"/>
          <w:color w:val="auto"/>
          <w:sz w:val="30"/>
          <w:szCs w:val="30"/>
          <w:u w:val="none"/>
        </w:rPr>
        <w:fldChar w:fldCharType="begin"/>
      </w:r>
      <w:r>
        <w:rPr>
          <w:rStyle w:val="9"/>
          <w:color w:val="auto"/>
          <w:sz w:val="30"/>
          <w:szCs w:val="30"/>
          <w:u w:val="none"/>
        </w:rPr>
        <w:instrText xml:space="preserve"> PAGEREF _Toc101189352 \h </w:instrText>
      </w:r>
      <w:r>
        <w:rPr>
          <w:rStyle w:val="9"/>
          <w:color w:val="auto"/>
          <w:sz w:val="30"/>
          <w:szCs w:val="30"/>
          <w:u w:val="none"/>
        </w:rPr>
        <w:fldChar w:fldCharType="separate"/>
      </w:r>
      <w:r>
        <w:rPr>
          <w:rStyle w:val="9"/>
          <w:color w:val="auto"/>
          <w:sz w:val="30"/>
          <w:szCs w:val="30"/>
          <w:u w:val="none"/>
        </w:rPr>
        <w:t>31</w:t>
      </w:r>
      <w:r>
        <w:rPr>
          <w:rStyle w:val="9"/>
          <w:color w:val="auto"/>
          <w:sz w:val="30"/>
          <w:szCs w:val="30"/>
          <w:u w:val="none"/>
        </w:rPr>
        <w:fldChar w:fldCharType="end"/>
      </w:r>
      <w:r>
        <w:rPr>
          <w:rStyle w:val="9"/>
          <w:color w:val="auto"/>
          <w:sz w:val="30"/>
          <w:szCs w:val="30"/>
          <w:u w:val="none"/>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15 </w:t>
      </w:r>
      <w:r>
        <w:fldChar w:fldCharType="begin"/>
      </w:r>
      <w:r>
        <w:instrText xml:space="preserve"> HYPERLINK \l "_Toc101189361" </w:instrText>
      </w:r>
      <w:r>
        <w:fldChar w:fldCharType="separate"/>
      </w:r>
      <w:r>
        <w:rPr>
          <w:rStyle w:val="9"/>
          <w:rFonts w:hint="eastAsia" w:ascii="方正小标宋简体" w:eastAsia="方正小标宋简体"/>
          <w:color w:val="auto"/>
          <w:kern w:val="44"/>
          <w:sz w:val="30"/>
          <w:szCs w:val="30"/>
          <w:u w:val="none"/>
        </w:rPr>
        <w:t>何某豪等诉天一公司海上人身损害责任纠纷案</w:t>
      </w:r>
      <w:r>
        <w:rPr>
          <w:sz w:val="30"/>
          <w:szCs w:val="30"/>
        </w:rPr>
        <w:tab/>
      </w:r>
      <w:r>
        <w:rPr>
          <w:sz w:val="30"/>
          <w:szCs w:val="30"/>
        </w:rPr>
        <w:fldChar w:fldCharType="end"/>
      </w:r>
      <w:r>
        <w:fldChar w:fldCharType="begin"/>
      </w:r>
      <w:r>
        <w:instrText xml:space="preserve"> HYPERLINK \l "_Toc101189362" </w:instrText>
      </w:r>
      <w:r>
        <w:fldChar w:fldCharType="separate"/>
      </w:r>
      <w:r>
        <w:rPr>
          <w:rStyle w:val="9"/>
          <w:rFonts w:hint="eastAsia" w:ascii="楷体_GB2312" w:eastAsia="楷体_GB2312"/>
          <w:color w:val="auto"/>
          <w:kern w:val="44"/>
          <w:sz w:val="30"/>
          <w:szCs w:val="30"/>
          <w:u w:val="none"/>
        </w:rPr>
        <w:t>——港澳居民在内地遭受人身损害按受诉法院所在地</w:t>
      </w:r>
      <w:r>
        <w:rPr>
          <w:rStyle w:val="9"/>
          <w:rFonts w:hint="eastAsia" w:ascii="楷体_GB2312" w:eastAsia="楷体_GB2312"/>
          <w:color w:val="auto"/>
          <w:kern w:val="44"/>
          <w:sz w:val="30"/>
          <w:szCs w:val="30"/>
          <w:u w:val="none"/>
        </w:rPr>
        <w:fldChar w:fldCharType="end"/>
      </w:r>
      <w:r>
        <w:fldChar w:fldCharType="begin"/>
      </w:r>
      <w:r>
        <w:instrText xml:space="preserve"> HYPERLINK \l "_Toc101189363" </w:instrText>
      </w:r>
      <w:r>
        <w:fldChar w:fldCharType="separate"/>
      </w:r>
      <w:r>
        <w:rPr>
          <w:rStyle w:val="9"/>
          <w:rFonts w:hint="eastAsia" w:ascii="楷体_GB2312" w:eastAsia="楷体_GB2312"/>
          <w:color w:val="auto"/>
          <w:kern w:val="44"/>
          <w:sz w:val="30"/>
          <w:szCs w:val="30"/>
          <w:u w:val="none"/>
        </w:rPr>
        <w:t>城镇居民标准赔偿</w:t>
      </w:r>
      <w:r>
        <w:rPr>
          <w:sz w:val="30"/>
          <w:szCs w:val="30"/>
        </w:rPr>
        <w:tab/>
      </w:r>
      <w:r>
        <w:rPr>
          <w:sz w:val="30"/>
          <w:szCs w:val="30"/>
        </w:rPr>
        <w:fldChar w:fldCharType="begin"/>
      </w:r>
      <w:r>
        <w:rPr>
          <w:sz w:val="30"/>
          <w:szCs w:val="30"/>
        </w:rPr>
        <w:instrText xml:space="preserve"> PAGEREF _Toc101189363 \h </w:instrText>
      </w:r>
      <w:r>
        <w:rPr>
          <w:sz w:val="30"/>
          <w:szCs w:val="30"/>
        </w:rPr>
        <w:fldChar w:fldCharType="separate"/>
      </w:r>
      <w:r>
        <w:rPr>
          <w:sz w:val="30"/>
          <w:szCs w:val="30"/>
        </w:rPr>
        <w:t>33</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16 </w:t>
      </w:r>
      <w:r>
        <w:fldChar w:fldCharType="begin"/>
      </w:r>
      <w:r>
        <w:instrText xml:space="preserve"> HYPERLINK \l "_Toc101189367" </w:instrText>
      </w:r>
      <w:r>
        <w:fldChar w:fldCharType="separate"/>
      </w:r>
      <w:r>
        <w:rPr>
          <w:rStyle w:val="9"/>
          <w:rFonts w:hint="eastAsia" w:ascii="方正小标宋简体" w:eastAsia="方正小标宋简体"/>
          <w:color w:val="auto"/>
          <w:kern w:val="44"/>
          <w:sz w:val="30"/>
          <w:szCs w:val="30"/>
          <w:u w:val="none"/>
        </w:rPr>
        <w:t>樊某仪、郭某妹诉黄某弟等海上人身损害责任纠纷案</w:t>
      </w:r>
      <w:r>
        <w:rPr>
          <w:sz w:val="30"/>
          <w:szCs w:val="30"/>
        </w:rPr>
        <w:tab/>
      </w:r>
      <w:r>
        <w:rPr>
          <w:sz w:val="30"/>
          <w:szCs w:val="30"/>
        </w:rPr>
        <w:fldChar w:fldCharType="end"/>
      </w:r>
      <w:r>
        <w:fldChar w:fldCharType="begin"/>
      </w:r>
      <w:r>
        <w:instrText xml:space="preserve"> HYPERLINK \l "_Toc101189368" </w:instrText>
      </w:r>
      <w:r>
        <w:fldChar w:fldCharType="separate"/>
      </w:r>
      <w:r>
        <w:rPr>
          <w:rStyle w:val="9"/>
          <w:rFonts w:hint="eastAsia" w:ascii="楷体_GB2312" w:eastAsia="楷体_GB2312"/>
          <w:color w:val="auto"/>
          <w:kern w:val="44"/>
          <w:sz w:val="30"/>
          <w:szCs w:val="30"/>
          <w:u w:val="none"/>
        </w:rPr>
        <w:t>——利用智慧法院建设成果，多方联动化解涉港澳纠纷</w:t>
      </w:r>
      <w:r>
        <w:rPr>
          <w:sz w:val="30"/>
          <w:szCs w:val="30"/>
        </w:rPr>
        <w:tab/>
      </w:r>
      <w:r>
        <w:rPr>
          <w:sz w:val="30"/>
          <w:szCs w:val="30"/>
        </w:rPr>
        <w:fldChar w:fldCharType="begin"/>
      </w:r>
      <w:r>
        <w:rPr>
          <w:sz w:val="30"/>
          <w:szCs w:val="30"/>
        </w:rPr>
        <w:instrText xml:space="preserve"> PAGEREF _Toc101189368 \h </w:instrText>
      </w:r>
      <w:r>
        <w:rPr>
          <w:sz w:val="30"/>
          <w:szCs w:val="30"/>
        </w:rPr>
        <w:fldChar w:fldCharType="separate"/>
      </w:r>
      <w:r>
        <w:rPr>
          <w:sz w:val="30"/>
          <w:szCs w:val="30"/>
        </w:rPr>
        <w:t>35</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17</w:t>
      </w:r>
      <w:r>
        <w:rPr>
          <w:rStyle w:val="9"/>
          <w:rFonts w:hint="eastAsia"/>
          <w:color w:val="auto"/>
          <w:sz w:val="30"/>
          <w:szCs w:val="30"/>
          <w:u w:val="none"/>
        </w:rPr>
        <w:t xml:space="preserve"> </w:t>
      </w:r>
      <w:r>
        <w:fldChar w:fldCharType="begin"/>
      </w:r>
      <w:r>
        <w:instrText xml:space="preserve"> HYPERLINK \l "_Toc101189369" </w:instrText>
      </w:r>
      <w:r>
        <w:fldChar w:fldCharType="separate"/>
      </w:r>
      <w:r>
        <w:rPr>
          <w:rStyle w:val="9"/>
          <w:rFonts w:ascii="方正小标宋简体" w:eastAsia="方正小标宋简体"/>
          <w:color w:val="auto"/>
          <w:kern w:val="44"/>
          <w:sz w:val="30"/>
          <w:szCs w:val="30"/>
          <w:u w:val="none"/>
        </w:rPr>
        <w:t>WS</w:t>
      </w:r>
      <w:r>
        <w:rPr>
          <w:rStyle w:val="9"/>
          <w:rFonts w:hint="eastAsia" w:ascii="方正小标宋简体" w:eastAsia="方正小标宋简体"/>
          <w:color w:val="auto"/>
          <w:kern w:val="44"/>
          <w:sz w:val="30"/>
          <w:szCs w:val="30"/>
          <w:u w:val="none"/>
        </w:rPr>
        <w:t>公司诉宏柏公司等合同纠纷案</w:t>
      </w:r>
      <w:r>
        <w:rPr>
          <w:sz w:val="30"/>
          <w:szCs w:val="30"/>
        </w:rPr>
        <w:tab/>
      </w:r>
      <w:r>
        <w:rPr>
          <w:sz w:val="30"/>
          <w:szCs w:val="30"/>
        </w:rPr>
        <w:fldChar w:fldCharType="end"/>
      </w:r>
      <w:r>
        <w:fldChar w:fldCharType="begin"/>
      </w:r>
      <w:r>
        <w:instrText xml:space="preserve"> HYPERLINK \l "_Toc101189370" </w:instrText>
      </w:r>
      <w:r>
        <w:fldChar w:fldCharType="separate"/>
      </w:r>
      <w:r>
        <w:rPr>
          <w:rStyle w:val="9"/>
          <w:rFonts w:hint="eastAsia" w:ascii="楷体_GB2312" w:eastAsia="楷体_GB2312"/>
          <w:color w:val="auto"/>
          <w:kern w:val="44"/>
          <w:sz w:val="30"/>
          <w:szCs w:val="30"/>
          <w:u w:val="none"/>
        </w:rPr>
        <w:t>——人民法院委托香港调解员适用香港调解规则</w:t>
      </w:r>
      <w:r>
        <w:rPr>
          <w:sz w:val="30"/>
          <w:szCs w:val="30"/>
        </w:rPr>
        <w:tab/>
      </w:r>
      <w:r>
        <w:rPr>
          <w:sz w:val="30"/>
          <w:szCs w:val="30"/>
        </w:rPr>
        <w:fldChar w:fldCharType="end"/>
      </w:r>
      <w:r>
        <w:fldChar w:fldCharType="begin"/>
      </w:r>
      <w:r>
        <w:instrText xml:space="preserve"> HYPERLINK \l "_Toc101189371" </w:instrText>
      </w:r>
      <w:r>
        <w:fldChar w:fldCharType="separate"/>
      </w:r>
      <w:r>
        <w:rPr>
          <w:rStyle w:val="9"/>
          <w:rFonts w:hint="eastAsia" w:ascii="楷体_GB2312" w:eastAsia="楷体_GB2312"/>
          <w:color w:val="auto"/>
          <w:kern w:val="44"/>
          <w:sz w:val="30"/>
          <w:szCs w:val="30"/>
          <w:u w:val="none"/>
        </w:rPr>
        <w:t>化解跨境纠纷，探索两地调解规则衔接</w:t>
      </w:r>
      <w:r>
        <w:rPr>
          <w:sz w:val="30"/>
          <w:szCs w:val="30"/>
        </w:rPr>
        <w:tab/>
      </w:r>
      <w:r>
        <w:rPr>
          <w:sz w:val="30"/>
          <w:szCs w:val="30"/>
        </w:rPr>
        <w:fldChar w:fldCharType="begin"/>
      </w:r>
      <w:r>
        <w:rPr>
          <w:sz w:val="30"/>
          <w:szCs w:val="30"/>
        </w:rPr>
        <w:instrText xml:space="preserve"> PAGEREF _Toc101189371 \h </w:instrText>
      </w:r>
      <w:r>
        <w:rPr>
          <w:sz w:val="30"/>
          <w:szCs w:val="30"/>
        </w:rPr>
        <w:fldChar w:fldCharType="separate"/>
      </w:r>
      <w:r>
        <w:rPr>
          <w:sz w:val="30"/>
          <w:szCs w:val="30"/>
        </w:rPr>
        <w:t>37</w:t>
      </w:r>
      <w:r>
        <w:rPr>
          <w:sz w:val="30"/>
          <w:szCs w:val="30"/>
        </w:rPr>
        <w:fldChar w:fldCharType="end"/>
      </w:r>
      <w:r>
        <w:rPr>
          <w:sz w:val="30"/>
          <w:szCs w:val="30"/>
        </w:rPr>
        <w:fldChar w:fldCharType="end"/>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18 </w:t>
      </w:r>
      <w:r>
        <w:fldChar w:fldCharType="begin"/>
      </w:r>
      <w:r>
        <w:instrText xml:space="preserve"> HYPERLINK \l "_Toc101189372" </w:instrText>
      </w:r>
      <w:r>
        <w:fldChar w:fldCharType="separate"/>
      </w:r>
      <w:r>
        <w:rPr>
          <w:rStyle w:val="9"/>
          <w:rFonts w:hint="eastAsia" w:ascii="方正小标宋简体" w:eastAsia="方正小标宋简体"/>
          <w:color w:val="auto"/>
          <w:kern w:val="44"/>
          <w:sz w:val="30"/>
          <w:szCs w:val="30"/>
          <w:u w:val="none"/>
        </w:rPr>
        <w:t>越秀物业公司诉曼思顿公司、曾某文等物业合同纠纷系列案</w:t>
      </w:r>
      <w:r>
        <w:rPr>
          <w:sz w:val="30"/>
          <w:szCs w:val="30"/>
        </w:rPr>
        <w:tab/>
      </w:r>
      <w:r>
        <w:rPr>
          <w:sz w:val="30"/>
          <w:szCs w:val="30"/>
        </w:rPr>
        <w:fldChar w:fldCharType="end"/>
      </w:r>
      <w:r>
        <w:fldChar w:fldCharType="begin"/>
      </w:r>
      <w:r>
        <w:instrText xml:space="preserve"> HYPERLINK \l "_Toc101189373" </w:instrText>
      </w:r>
      <w:r>
        <w:fldChar w:fldCharType="separate"/>
      </w:r>
      <w:r>
        <w:rPr>
          <w:rStyle w:val="9"/>
          <w:rFonts w:hint="eastAsia" w:ascii="楷体_GB2312" w:eastAsia="楷体_GB2312"/>
          <w:color w:val="auto"/>
          <w:kern w:val="44"/>
          <w:sz w:val="30"/>
          <w:szCs w:val="30"/>
          <w:u w:val="none"/>
        </w:rPr>
        <w:t>——人民法院委托香港调解员就地高效化解跨境纠纷，</w:t>
      </w:r>
      <w:r>
        <w:rPr>
          <w:rStyle w:val="9"/>
          <w:rFonts w:hint="eastAsia" w:ascii="楷体_GB2312" w:eastAsia="楷体_GB2312"/>
          <w:color w:val="auto"/>
          <w:kern w:val="44"/>
          <w:sz w:val="30"/>
          <w:szCs w:val="30"/>
          <w:u w:val="none"/>
        </w:rPr>
        <w:fldChar w:fldCharType="end"/>
      </w:r>
      <w:r>
        <w:rPr>
          <w:rStyle w:val="9"/>
          <w:color w:val="auto"/>
          <w:sz w:val="30"/>
          <w:szCs w:val="30"/>
          <w:u w:val="none"/>
        </w:rPr>
        <w:t xml:space="preserve"> </w:t>
      </w:r>
      <w:r>
        <w:fldChar w:fldCharType="begin"/>
      </w:r>
      <w:r>
        <w:instrText xml:space="preserve"> HYPERLINK \l "_Toc101189374" </w:instrText>
      </w:r>
      <w:r>
        <w:fldChar w:fldCharType="separate"/>
      </w:r>
      <w:r>
        <w:rPr>
          <w:rStyle w:val="9"/>
          <w:rFonts w:hint="eastAsia" w:ascii="楷体_GB2312" w:eastAsia="楷体_GB2312"/>
          <w:color w:val="auto"/>
          <w:kern w:val="44"/>
          <w:sz w:val="30"/>
          <w:szCs w:val="30"/>
          <w:u w:val="none"/>
        </w:rPr>
        <w:t>探索两地调解机制对接</w:t>
      </w:r>
      <w:r>
        <w:rPr>
          <w:sz w:val="30"/>
          <w:szCs w:val="30"/>
        </w:rPr>
        <w:tab/>
      </w:r>
      <w:r>
        <w:rPr>
          <w:sz w:val="30"/>
          <w:szCs w:val="30"/>
        </w:rPr>
        <w:fldChar w:fldCharType="begin"/>
      </w:r>
      <w:r>
        <w:rPr>
          <w:sz w:val="30"/>
          <w:szCs w:val="30"/>
        </w:rPr>
        <w:instrText xml:space="preserve"> PAGEREF _Toc101189374 \h </w:instrText>
      </w:r>
      <w:r>
        <w:rPr>
          <w:sz w:val="30"/>
          <w:szCs w:val="30"/>
        </w:rPr>
        <w:fldChar w:fldCharType="separate"/>
      </w:r>
      <w:r>
        <w:rPr>
          <w:sz w:val="30"/>
          <w:szCs w:val="30"/>
        </w:rPr>
        <w:t>39</w:t>
      </w:r>
      <w:r>
        <w:rPr>
          <w:sz w:val="30"/>
          <w:szCs w:val="30"/>
        </w:rPr>
        <w:fldChar w:fldCharType="end"/>
      </w:r>
      <w:r>
        <w:rPr>
          <w:sz w:val="30"/>
          <w:szCs w:val="30"/>
        </w:rPr>
        <w:fldChar w:fldCharType="end"/>
      </w:r>
    </w:p>
    <w:p>
      <w:pPr>
        <w:rPr>
          <w:rFonts w:ascii="Calibri" w:hAnsi="Calibri"/>
          <w:sz w:val="30"/>
          <w:szCs w:val="30"/>
        </w:rPr>
      </w:pPr>
      <w:r>
        <w:rPr>
          <w:rStyle w:val="9"/>
          <w:rFonts w:hint="eastAsia" w:ascii="方正小标宋简体" w:eastAsia="方正小标宋简体"/>
          <w:color w:val="auto"/>
          <w:sz w:val="30"/>
          <w:szCs w:val="30"/>
          <w:u w:val="none"/>
        </w:rPr>
        <w:t>19</w:t>
      </w:r>
      <w:r>
        <w:rPr>
          <w:rStyle w:val="9"/>
          <w:rFonts w:hint="eastAsia"/>
          <w:color w:val="auto"/>
          <w:sz w:val="30"/>
          <w:szCs w:val="30"/>
          <w:u w:val="none"/>
        </w:rPr>
        <w:t xml:space="preserve"> </w:t>
      </w:r>
      <w:r>
        <w:fldChar w:fldCharType="begin"/>
      </w:r>
      <w:r>
        <w:instrText xml:space="preserve"> HYPERLINK \l "_Toc101189375" </w:instrText>
      </w:r>
      <w:r>
        <w:fldChar w:fldCharType="separate"/>
      </w:r>
      <w:r>
        <w:rPr>
          <w:rStyle w:val="9"/>
          <w:rFonts w:hint="eastAsia" w:ascii="方正小标宋简体" w:eastAsia="方正小标宋简体"/>
          <w:color w:val="auto"/>
          <w:kern w:val="44"/>
          <w:sz w:val="30"/>
          <w:szCs w:val="30"/>
          <w:u w:val="none"/>
        </w:rPr>
        <w:t>显崇公司申请认可香港判决案</w:t>
      </w:r>
      <w:r>
        <w:rPr>
          <w:rStyle w:val="9"/>
          <w:rFonts w:hint="eastAsia"/>
          <w:color w:val="auto"/>
          <w:sz w:val="30"/>
          <w:szCs w:val="30"/>
          <w:u w:val="none"/>
        </w:rPr>
        <w:t>——</w:t>
      </w:r>
      <w:r>
        <w:rPr>
          <w:rStyle w:val="9"/>
          <w:rFonts w:hint="eastAsia"/>
          <w:color w:val="auto"/>
          <w:sz w:val="30"/>
          <w:szCs w:val="30"/>
          <w:u w:val="none"/>
        </w:rPr>
        <w:fldChar w:fldCharType="end"/>
      </w:r>
      <w:r>
        <w:rPr>
          <w:rFonts w:hint="eastAsia" w:ascii="楷体_GB2312" w:eastAsia="楷体_GB2312"/>
          <w:kern w:val="44"/>
          <w:sz w:val="30"/>
          <w:szCs w:val="30"/>
        </w:rPr>
        <w:t>依法认定香港法院管辖条款的排他性，认可香港法院判决</w:t>
      </w:r>
      <w:r>
        <w:rPr>
          <w:rFonts w:ascii="楷体_GB2312" w:eastAsia="楷体_GB2312"/>
          <w:kern w:val="44"/>
          <w:sz w:val="30"/>
          <w:szCs w:val="30"/>
        </w:rPr>
        <w:t>…………………</w:t>
      </w:r>
      <w:r>
        <w:rPr>
          <w:rFonts w:hint="eastAsia" w:ascii="楷体_GB2312" w:eastAsia="楷体_GB2312"/>
          <w:kern w:val="44"/>
          <w:sz w:val="30"/>
          <w:szCs w:val="30"/>
        </w:rPr>
        <w:t>42</w:t>
      </w:r>
      <w:r>
        <w:rPr>
          <w:rFonts w:ascii="楷体_GB2312" w:eastAsia="楷体_GB2312"/>
          <w:kern w:val="44"/>
          <w:sz w:val="30"/>
          <w:szCs w:val="30"/>
        </w:rPr>
        <w:tab/>
      </w:r>
    </w:p>
    <w:p>
      <w:pPr>
        <w:pStyle w:val="6"/>
        <w:tabs>
          <w:tab w:val="right" w:leader="dot" w:pos="8296"/>
        </w:tabs>
        <w:rPr>
          <w:rFonts w:ascii="Calibri" w:hAnsi="Calibri"/>
          <w:sz w:val="30"/>
          <w:szCs w:val="30"/>
        </w:rPr>
      </w:pPr>
      <w:r>
        <w:rPr>
          <w:rStyle w:val="9"/>
          <w:rFonts w:hint="eastAsia" w:ascii="方正小标宋简体" w:eastAsia="方正小标宋简体"/>
          <w:color w:val="auto"/>
          <w:sz w:val="30"/>
          <w:szCs w:val="30"/>
          <w:u w:val="none"/>
        </w:rPr>
        <w:t xml:space="preserve">20 </w:t>
      </w:r>
      <w:r>
        <w:fldChar w:fldCharType="begin"/>
      </w:r>
      <w:r>
        <w:instrText xml:space="preserve"> HYPERLINK \l "_Toc101189380" </w:instrText>
      </w:r>
      <w:r>
        <w:fldChar w:fldCharType="separate"/>
      </w:r>
      <w:r>
        <w:rPr>
          <w:rStyle w:val="9"/>
          <w:rFonts w:hint="eastAsia" w:ascii="方正小标宋简体" w:eastAsia="方正小标宋简体"/>
          <w:color w:val="auto"/>
          <w:kern w:val="44"/>
          <w:sz w:val="30"/>
          <w:szCs w:val="30"/>
          <w:u w:val="none"/>
        </w:rPr>
        <w:t>德美公司诉光启公司仲裁程序中的财产保全</w:t>
      </w:r>
      <w:r>
        <w:rPr>
          <w:sz w:val="30"/>
          <w:szCs w:val="30"/>
        </w:rPr>
        <w:tab/>
      </w:r>
      <w:r>
        <w:rPr>
          <w:sz w:val="30"/>
          <w:szCs w:val="30"/>
        </w:rPr>
        <w:fldChar w:fldCharType="end"/>
      </w:r>
      <w:r>
        <w:fldChar w:fldCharType="begin"/>
      </w:r>
      <w:r>
        <w:instrText xml:space="preserve"> HYPERLINK \l "_Toc101189381" </w:instrText>
      </w:r>
      <w:r>
        <w:fldChar w:fldCharType="separate"/>
      </w:r>
      <w:r>
        <w:rPr>
          <w:rStyle w:val="9"/>
          <w:rFonts w:hint="eastAsia" w:ascii="楷体_GB2312" w:eastAsia="楷体_GB2312"/>
          <w:color w:val="auto"/>
          <w:kern w:val="44"/>
          <w:sz w:val="30"/>
          <w:szCs w:val="30"/>
          <w:u w:val="none"/>
        </w:rPr>
        <w:t>——履行内地与香港仲裁保全安排，探索司法协助新机制</w:t>
      </w:r>
      <w:r>
        <w:rPr>
          <w:sz w:val="30"/>
          <w:szCs w:val="30"/>
        </w:rPr>
        <w:tab/>
      </w:r>
      <w:r>
        <w:rPr>
          <w:sz w:val="30"/>
          <w:szCs w:val="30"/>
        </w:rPr>
        <w:fldChar w:fldCharType="begin"/>
      </w:r>
      <w:r>
        <w:rPr>
          <w:sz w:val="30"/>
          <w:szCs w:val="30"/>
        </w:rPr>
        <w:instrText xml:space="preserve"> PAGEREF _Toc101189381 \h </w:instrText>
      </w:r>
      <w:r>
        <w:rPr>
          <w:sz w:val="30"/>
          <w:szCs w:val="30"/>
        </w:rPr>
        <w:fldChar w:fldCharType="separate"/>
      </w:r>
      <w:r>
        <w:rPr>
          <w:sz w:val="30"/>
          <w:szCs w:val="30"/>
        </w:rPr>
        <w:t>43</w:t>
      </w:r>
      <w:r>
        <w:rPr>
          <w:sz w:val="30"/>
          <w:szCs w:val="30"/>
        </w:rPr>
        <w:fldChar w:fldCharType="end"/>
      </w:r>
      <w:r>
        <w:rPr>
          <w:sz w:val="30"/>
          <w:szCs w:val="30"/>
        </w:rPr>
        <w:fldChar w:fldCharType="end"/>
      </w:r>
    </w:p>
    <w:p>
      <w:pPr>
        <w:tabs>
          <w:tab w:val="right" w:leader="dot" w:pos="8296"/>
        </w:tabs>
        <w:rPr>
          <w:rFonts w:ascii="Arial" w:hAnsi="Arial" w:eastAsia="仿宋_GB2312" w:cs="Arial"/>
          <w:sz w:val="40"/>
          <w:szCs w:val="30"/>
        </w:rPr>
      </w:pPr>
      <w:r>
        <w:rPr>
          <w:rFonts w:hint="eastAsia" w:ascii="方正小标宋简体" w:eastAsia="方正小标宋简体"/>
          <w:sz w:val="30"/>
          <w:szCs w:val="30"/>
        </w:rPr>
        <w:fldChar w:fldCharType="end"/>
      </w:r>
    </w:p>
    <w:p>
      <w:pPr>
        <w:snapToGrid w:val="0"/>
        <w:spacing w:line="360" w:lineRule="auto"/>
        <w:jc w:val="center"/>
        <w:rPr>
          <w:rFonts w:ascii="华文中宋" w:hAnsi="华文中宋" w:eastAsia="华文中宋"/>
          <w:sz w:val="52"/>
          <w:szCs w:val="52"/>
        </w:rPr>
      </w:pPr>
      <w:r>
        <w:rPr>
          <w:rFonts w:eastAsia="方正小标宋简体"/>
          <w:sz w:val="30"/>
          <w:szCs w:val="30"/>
        </w:rPr>
        <w:br w:type="page"/>
      </w:r>
      <w:r>
        <w:rPr>
          <w:rFonts w:ascii="黑体" w:hAnsi="黑体" w:eastAsia="黑体"/>
          <w:sz w:val="32"/>
          <w:szCs w:val="32"/>
        </w:rPr>
        <w:t>案例</w:t>
      </w:r>
      <w:r>
        <w:rPr>
          <w:rFonts w:hint="eastAsia" w:ascii="黑体" w:hAnsi="黑体" w:eastAsia="黑体"/>
          <w:sz w:val="32"/>
          <w:szCs w:val="32"/>
        </w:rPr>
        <w:t>1</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0" w:name="_Toc101189332"/>
      <w:r>
        <w:rPr>
          <w:rFonts w:hint="eastAsia" w:ascii="方正小标宋简体" w:eastAsia="方正小标宋简体"/>
          <w:kern w:val="44"/>
          <w:sz w:val="36"/>
          <w:szCs w:val="36"/>
        </w:rPr>
        <w:t>人防公司诉粤和兴公司、太平洋保险深圳分公司</w:t>
      </w:r>
      <w:bookmarkEnd w:id="0"/>
    </w:p>
    <w:p>
      <w:pPr>
        <w:keepNext/>
        <w:keepLines/>
        <w:widowControl/>
        <w:snapToGrid w:val="0"/>
        <w:spacing w:line="360" w:lineRule="auto"/>
        <w:jc w:val="center"/>
        <w:outlineLvl w:val="0"/>
        <w:rPr>
          <w:rFonts w:ascii="方正小标宋简体" w:eastAsia="方正小标宋简体"/>
          <w:kern w:val="44"/>
          <w:sz w:val="36"/>
          <w:szCs w:val="36"/>
        </w:rPr>
      </w:pPr>
      <w:bookmarkStart w:id="1" w:name="_Toc101189333"/>
      <w:r>
        <w:rPr>
          <w:rFonts w:hint="eastAsia" w:ascii="方正小标宋简体" w:eastAsia="方正小标宋简体"/>
          <w:kern w:val="44"/>
          <w:sz w:val="36"/>
          <w:szCs w:val="36"/>
        </w:rPr>
        <w:t>侵权责任纠纷案</w:t>
      </w:r>
      <w:bookmarkEnd w:id="1"/>
    </w:p>
    <w:p>
      <w:pPr>
        <w:keepNext/>
        <w:keepLines/>
        <w:widowControl/>
        <w:snapToGrid w:val="0"/>
        <w:spacing w:line="360" w:lineRule="auto"/>
        <w:jc w:val="center"/>
        <w:outlineLvl w:val="0"/>
        <w:rPr>
          <w:rFonts w:ascii="楷体_GB2312" w:eastAsia="楷体_GB2312"/>
          <w:kern w:val="44"/>
          <w:sz w:val="32"/>
          <w:szCs w:val="32"/>
        </w:rPr>
      </w:pPr>
      <w:bookmarkStart w:id="2" w:name="_Toc101189334"/>
      <w:r>
        <w:rPr>
          <w:rFonts w:hint="eastAsia" w:ascii="楷体_GB2312" w:eastAsia="楷体_GB2312"/>
          <w:kern w:val="44"/>
          <w:sz w:val="32"/>
          <w:szCs w:val="32"/>
        </w:rPr>
        <w:t>——认定国际帆船比赛中无故意或者重大过失的参赛者</w:t>
      </w:r>
      <w:bookmarkEnd w:id="2"/>
    </w:p>
    <w:p>
      <w:pPr>
        <w:keepNext/>
        <w:keepLines/>
        <w:widowControl/>
        <w:snapToGrid w:val="0"/>
        <w:spacing w:line="360" w:lineRule="auto"/>
        <w:jc w:val="center"/>
        <w:outlineLvl w:val="0"/>
        <w:rPr>
          <w:rFonts w:ascii="楷体_GB2312" w:eastAsia="楷体_GB2312"/>
          <w:kern w:val="44"/>
          <w:sz w:val="32"/>
          <w:szCs w:val="32"/>
        </w:rPr>
      </w:pPr>
      <w:bookmarkStart w:id="3" w:name="_Toc101189335"/>
      <w:r>
        <w:rPr>
          <w:rFonts w:hint="eastAsia" w:ascii="楷体_GB2312" w:eastAsia="楷体_GB2312"/>
          <w:kern w:val="44"/>
          <w:sz w:val="32"/>
          <w:szCs w:val="32"/>
        </w:rPr>
        <w:t>对碰撞事故不承担责任，完善赛事侵权规则</w:t>
      </w:r>
      <w:bookmarkEnd w:id="3"/>
    </w:p>
    <w:p>
      <w:pPr>
        <w:spacing w:line="360" w:lineRule="auto"/>
        <w:ind w:firstLine="640" w:firstLineChars="200"/>
        <w:rPr>
          <w:rFonts w:ascii="黑体" w:hAnsi="黑体" w:eastAsia="黑体"/>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中国杯帆船赛组委会发布第十届中国杯帆船赛赛事公告载明：赛事在深圳及香港水域举行，执行《国际帆联帆船竞赛规则2013-2016》（RRS）。人防公司 “白鲨号”游艇、粤和兴公司“中国杯24号”游艇自愿报名参赛。“中国杯24号”在太平洋保险深圳分公司处投保第三者责任保险。竞赛期间，上述游艇发生碰撞并不同程度受损。粤和兴公司确认“中国杯24号”违反竞赛规则第11条，但主张当时处于激烈竞赛环境中，对案涉事故的发生没有主观上的过错，并主张“白鲨号”违反竞赛规则第14条，应承担案涉事故的主要责任。因双方对事故责任和赔偿金额未能达成一致，人防公司遂提起诉讼，请求判令粤和兴公司向其赔偿船舶修理费用等损失共计514,459元，太保深圳分公司在保险责任范围内向人防公司承担赔偿责任；粤和兴公司反诉请求人防公司向其赔偿船舶维修费用等损失共计429,352元。</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spacing w:line="360" w:lineRule="auto"/>
        <w:ind w:firstLine="640" w:firstLineChars="200"/>
        <w:rPr>
          <w:rFonts w:eastAsia="仿宋_GB2312"/>
          <w:sz w:val="32"/>
          <w:szCs w:val="32"/>
        </w:rPr>
      </w:pPr>
      <w:r>
        <w:rPr>
          <w:rFonts w:hint="eastAsia" w:eastAsia="仿宋_GB2312"/>
          <w:sz w:val="32"/>
          <w:szCs w:val="32"/>
        </w:rPr>
        <w:t>广州海事法院一审认为，本案属于船舶碰撞损害责任纠纷，综合两船违规程度等情况，酌定“中国杯24号”和“白鲨号”对事故各承担90%和10%的责任，判令双方按照相应比例赔偿对方船舶维修费等损失，太保深圳分公司在保险 责任范围内承担赔偿责任。广东省高级人民法院二审认为，本案为帆船竞赛中发生碰撞事故引发的侵权损害赔偿责任纠纷，双方帆船系自愿参加具有一定风险的文体活动，应适用《中华人民共和国民法典》第一千一百七十六条关于自甘风险的规定认定双方责任，不宜以违规即认定构成侵权。本案双方游艇对案涉事故的发生均不存在故意或重大过失，均不得请求对方承担侵权责任。故撤销原判，改判驳回人防公司、粤和兴公司的本诉和反诉请求。</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人民法院依据民法典自甘风险规则认定帆船竞赛碰撞事故损害赔偿责任，明确致害人如无故意或重大过失，仅违反竞技规则并不构成民事侵权，为国际帆船运动提供法律保障。</w:t>
      </w:r>
    </w:p>
    <w:p>
      <w:pPr>
        <w:widowControl/>
        <w:snapToGrid w:val="0"/>
        <w:spacing w:line="360" w:lineRule="auto"/>
        <w:rPr>
          <w:rFonts w:ascii="黑体" w:hAnsi="黑体" w:eastAsia="黑体"/>
          <w:sz w:val="32"/>
          <w:szCs w:val="32"/>
        </w:rPr>
      </w:pPr>
      <w:r>
        <w:rPr>
          <w:rFonts w:eastAsia="方正小标宋简体"/>
          <w:sz w:val="32"/>
          <w:szCs w:val="32"/>
        </w:rPr>
        <w:br w:type="page"/>
      </w:r>
      <w:r>
        <w:rPr>
          <w:rFonts w:ascii="黑体" w:hAnsi="黑体" w:eastAsia="黑体"/>
          <w:sz w:val="32"/>
          <w:szCs w:val="32"/>
        </w:rPr>
        <w:t>案例</w:t>
      </w:r>
      <w:r>
        <w:rPr>
          <w:rFonts w:hint="eastAsia" w:ascii="黑体" w:hAnsi="黑体" w:eastAsia="黑体"/>
          <w:sz w:val="32"/>
          <w:szCs w:val="32"/>
        </w:rPr>
        <w:t>2</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4" w:name="_Toc101189343"/>
      <w:r>
        <w:rPr>
          <w:rFonts w:hint="eastAsia" w:ascii="方正小标宋简体" w:eastAsia="方正小标宋简体"/>
          <w:kern w:val="44"/>
          <w:sz w:val="36"/>
          <w:szCs w:val="36"/>
        </w:rPr>
        <w:t>蓝某诉马高公司与公司有关的纠纷案</w:t>
      </w:r>
      <w:bookmarkEnd w:id="4"/>
    </w:p>
    <w:p>
      <w:pPr>
        <w:keepNext/>
        <w:keepLines/>
        <w:widowControl/>
        <w:snapToGrid w:val="0"/>
        <w:spacing w:line="360" w:lineRule="auto"/>
        <w:jc w:val="center"/>
        <w:outlineLvl w:val="0"/>
        <w:rPr>
          <w:rFonts w:ascii="楷体_GB2312" w:eastAsia="楷体_GB2312"/>
          <w:kern w:val="44"/>
          <w:sz w:val="32"/>
          <w:szCs w:val="32"/>
        </w:rPr>
      </w:pPr>
      <w:bookmarkStart w:id="5" w:name="_Toc101189344"/>
      <w:r>
        <w:rPr>
          <w:rFonts w:hint="eastAsia" w:ascii="楷体_GB2312" w:eastAsia="楷体_GB2312"/>
          <w:kern w:val="44"/>
          <w:sz w:val="32"/>
          <w:szCs w:val="32"/>
        </w:rPr>
        <w:t>——适用香港法律保护香港公司董事知情权，</w:t>
      </w:r>
      <w:bookmarkEnd w:id="5"/>
    </w:p>
    <w:p>
      <w:pPr>
        <w:keepNext/>
        <w:keepLines/>
        <w:widowControl/>
        <w:snapToGrid w:val="0"/>
        <w:spacing w:line="360" w:lineRule="auto"/>
        <w:jc w:val="center"/>
        <w:outlineLvl w:val="0"/>
        <w:rPr>
          <w:rFonts w:ascii="楷体_GB2312" w:eastAsia="楷体_GB2312"/>
          <w:kern w:val="44"/>
          <w:sz w:val="32"/>
          <w:szCs w:val="32"/>
        </w:rPr>
      </w:pPr>
      <w:bookmarkStart w:id="6" w:name="_Toc101189345"/>
      <w:r>
        <w:rPr>
          <w:rFonts w:hint="eastAsia" w:ascii="楷体_GB2312" w:eastAsia="楷体_GB2312"/>
          <w:kern w:val="44"/>
          <w:sz w:val="32"/>
          <w:szCs w:val="32"/>
        </w:rPr>
        <w:t>规范公司治理</w:t>
      </w:r>
      <w:bookmarkEnd w:id="6"/>
    </w:p>
    <w:p>
      <w:pPr>
        <w:snapToGrid w:val="0"/>
        <w:spacing w:line="360" w:lineRule="auto"/>
        <w:ind w:right="40" w:firstLine="640" w:firstLineChars="200"/>
        <w:rPr>
          <w:rFonts w:eastAsia="仿宋_GB2312"/>
          <w:snapToGrid w:val="0"/>
          <w:kern w:val="0"/>
          <w:sz w:val="32"/>
          <w:szCs w:val="32"/>
        </w:rPr>
      </w:pPr>
    </w:p>
    <w:p>
      <w:pPr>
        <w:widowControl/>
        <w:snapToGrid w:val="0"/>
        <w:spacing w:line="360" w:lineRule="auto"/>
        <w:ind w:firstLine="640" w:firstLineChars="200"/>
        <w:rPr>
          <w:rFonts w:eastAsia="黑体"/>
          <w:sz w:val="32"/>
          <w:szCs w:val="32"/>
        </w:rPr>
      </w:pPr>
      <w:r>
        <w:rPr>
          <w:rFonts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马高发展有限公司是在香港注册成立的公司。1992年12月31日、2016年1月7日马高公司的周年申报表复印件记载，该公司共发行普通股8股，由股东陈某辉、蓝某、蓝某强、蓝某文每人持有2股，该公司的董事也即上述4位股东。2017年12月12日马高公司的股东决议记载：2007年3月8日公司出具的股权证明书已失效，公司股权以股东登记册上的记录为准。蓝某文、蓝某强、蓝某芬在该决议中签字。蓝某提起诉讼，请求确认马高公司2017年12月12日股东决议无效，判令马高公司提供会计记录，交还公司房产的不动产产权证书并支付出租该不动产的租金收益。</w:t>
      </w:r>
    </w:p>
    <w:p>
      <w:pPr>
        <w:widowControl/>
        <w:snapToGrid w:val="0"/>
        <w:spacing w:line="360" w:lineRule="auto"/>
        <w:ind w:firstLine="640" w:firstLineChars="200"/>
        <w:rPr>
          <w:rFonts w:eastAsia="黑体"/>
          <w:sz w:val="32"/>
          <w:szCs w:val="32"/>
        </w:rPr>
      </w:pPr>
      <w:r>
        <w:rPr>
          <w:rFonts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云浮市中级人民法院一审判决驳回蓝某的诉讼请求。广东省高级人民法院二审认为，2017年12月12日马高公司的股东决议经由合计持有马高公司75%股份的3位股东及该公司75%的董事签字确认，已达到香港法律关于公司特别决议应获最少75%的多票通过的表决比例要求，且不存在违反公司章程细则或相关法律规定而应当认定为无效的情形。依照香港法律的规定，如董事提出要求，则该公司须免费向该董事提供会计记录；蓝某作为马高公司的董事，有权查阅马高公司的会计记录。故改判马高公司向蓝某提供公司会计记录复印件，驳回蓝某的其他诉讼请求。</w:t>
      </w:r>
    </w:p>
    <w:p>
      <w:pPr>
        <w:widowControl/>
        <w:snapToGrid w:val="0"/>
        <w:spacing w:line="360" w:lineRule="auto"/>
        <w:ind w:firstLine="640" w:firstLineChars="200"/>
        <w:rPr>
          <w:rFonts w:eastAsia="黑体"/>
          <w:sz w:val="32"/>
          <w:szCs w:val="32"/>
        </w:rPr>
      </w:pPr>
      <w:r>
        <w:rPr>
          <w:rFonts w:eastAsia="黑体"/>
          <w:sz w:val="32"/>
          <w:szCs w:val="32"/>
        </w:rPr>
        <w:t>典型意义</w:t>
      </w:r>
    </w:p>
    <w:p>
      <w:pPr>
        <w:widowControl/>
        <w:snapToGrid w:val="0"/>
        <w:spacing w:line="360" w:lineRule="auto"/>
        <w:ind w:firstLine="640" w:firstLineChars="200"/>
        <w:rPr>
          <w:rFonts w:eastAsia="黑体"/>
          <w:sz w:val="32"/>
          <w:szCs w:val="32"/>
        </w:rPr>
      </w:pPr>
      <w:r>
        <w:rPr>
          <w:rFonts w:hint="eastAsia" w:eastAsia="仿宋_GB2312"/>
          <w:sz w:val="32"/>
          <w:szCs w:val="32"/>
        </w:rPr>
        <w:t>人民法院依照公司注册登记地法律即香港法律认定股东决议效力，并根据香港法律规定，支持董事查阅公司会计记录，保护香港公司董事的知情权。</w:t>
      </w:r>
    </w:p>
    <w:p>
      <w:pPr>
        <w:widowControl/>
        <w:adjustRightInd/>
        <w:spacing w:line="360" w:lineRule="auto"/>
        <w:jc w:val="left"/>
        <w:rPr>
          <w:rFonts w:ascii="黑体" w:hAnsi="黑体" w:eastAsia="黑体"/>
          <w:sz w:val="32"/>
          <w:szCs w:val="32"/>
        </w:rPr>
      </w:pPr>
      <w:r>
        <w:rPr>
          <w:rFonts w:ascii="黑体" w:hAnsi="黑体" w:eastAsia="黑体"/>
          <w:sz w:val="32"/>
          <w:szCs w:val="32"/>
        </w:rPr>
        <w:br w:type="page"/>
      </w:r>
      <w:r>
        <w:rPr>
          <w:rFonts w:ascii="黑体" w:hAnsi="黑体" w:eastAsia="黑体"/>
          <w:sz w:val="32"/>
          <w:szCs w:val="32"/>
        </w:rPr>
        <w:t>案例</w:t>
      </w:r>
      <w:r>
        <w:rPr>
          <w:rFonts w:hint="eastAsia" w:ascii="黑体" w:hAnsi="黑体" w:eastAsia="黑体"/>
          <w:sz w:val="32"/>
          <w:szCs w:val="32"/>
        </w:rPr>
        <w:t>3</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7" w:name="_Toc101189353"/>
      <w:r>
        <w:rPr>
          <w:rFonts w:hint="eastAsia" w:ascii="方正小标宋简体" w:eastAsia="方正小标宋简体"/>
          <w:kern w:val="44"/>
          <w:sz w:val="36"/>
          <w:szCs w:val="36"/>
        </w:rPr>
        <w:t>广发信德公司诉富领公司等与公司有关的纠纷案</w:t>
      </w:r>
      <w:bookmarkEnd w:id="7"/>
    </w:p>
    <w:p>
      <w:pPr>
        <w:keepNext/>
        <w:keepLines/>
        <w:widowControl/>
        <w:snapToGrid w:val="0"/>
        <w:spacing w:line="360" w:lineRule="auto"/>
        <w:jc w:val="center"/>
        <w:outlineLvl w:val="0"/>
        <w:rPr>
          <w:rFonts w:ascii="楷体_GB2312" w:eastAsia="楷体_GB2312"/>
          <w:kern w:val="44"/>
          <w:sz w:val="32"/>
          <w:szCs w:val="32"/>
        </w:rPr>
      </w:pPr>
      <w:bookmarkStart w:id="8" w:name="_Toc101189354"/>
      <w:r>
        <w:rPr>
          <w:rFonts w:hint="eastAsia" w:ascii="楷体_GB2312" w:eastAsia="楷体_GB2312"/>
          <w:kern w:val="44"/>
          <w:sz w:val="32"/>
          <w:szCs w:val="32"/>
        </w:rPr>
        <w:t>——适当履行跨境“对赌协议”，保护投融资双方合法权益</w:t>
      </w:r>
      <w:bookmarkEnd w:id="8"/>
    </w:p>
    <w:p>
      <w:pPr>
        <w:snapToGrid w:val="0"/>
        <w:spacing w:line="360" w:lineRule="auto"/>
        <w:ind w:right="40" w:firstLine="640" w:firstLineChars="200"/>
        <w:rPr>
          <w:rFonts w:eastAsia="仿宋_GB2312"/>
          <w:snapToGrid w:val="0"/>
          <w:kern w:val="0"/>
          <w:sz w:val="32"/>
          <w:szCs w:val="32"/>
        </w:rPr>
      </w:pPr>
    </w:p>
    <w:p>
      <w:pPr>
        <w:widowControl/>
        <w:snapToGrid w:val="0"/>
        <w:spacing w:line="360" w:lineRule="auto"/>
        <w:ind w:firstLine="640" w:firstLineChars="200"/>
        <w:rPr>
          <w:rFonts w:eastAsia="黑体"/>
          <w:sz w:val="32"/>
          <w:szCs w:val="32"/>
        </w:rPr>
      </w:pPr>
      <w:r>
        <w:rPr>
          <w:rFonts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2010年，广发信德投资管理有限公司与香港企业富领科技发展有限公司和外国企业普罗菲莫开发有限公司等签订协议，约定：广发信德公司出资1250万元对目标公司增资；目标公司2012</w:t>
      </w:r>
      <w:r>
        <w:rPr>
          <w:rFonts w:hint="eastAsia" w:eastAsia="仿宋_GB2312"/>
          <w:b/>
          <w:color w:val="FF0000"/>
          <w:sz w:val="32"/>
          <w:szCs w:val="32"/>
        </w:rPr>
        <w:t>年</w:t>
      </w:r>
      <w:r>
        <w:rPr>
          <w:rFonts w:hint="eastAsia" w:eastAsia="仿宋_GB2312"/>
          <w:sz w:val="32"/>
          <w:szCs w:val="32"/>
        </w:rPr>
        <w:t>的实际净利润低于预测净利润3500万元时，富领公司、普罗菲莫公司按照预测净利润与实际净利润的差值和广发信德公司的持股比例支付业绩补偿金；实际净利润低于预测净利润3500万元的80%时，广发信德公司有权主张富领公司、普罗菲莫公司回购股份；未经广发信德公司同意，富领公司、普罗菲莫公司不得向他人出质其持有的目标公司股权，否则应支付广发信德公司投资额10%的违约金。合同签订后，广发信德公司出资成为目标公司的股东。目标公司2012年度净亏损2414万元。广发信德公司于2014年主张富领公司、普罗菲莫公司回购股权。2017年，普罗菲莫公司将其所持目标公司股权出质给案外人。广发信德公司提起诉讼，请求判令富领公司、普罗菲莫公司回购股权，按照2012年实际净利润为-2414</w:t>
      </w:r>
      <w:r>
        <w:rPr>
          <w:rFonts w:hint="eastAsia" w:eastAsia="仿宋_GB2312"/>
          <w:b/>
          <w:color w:val="FF0000"/>
          <w:sz w:val="32"/>
          <w:szCs w:val="32"/>
        </w:rPr>
        <w:t>万</w:t>
      </w:r>
      <w:r>
        <w:rPr>
          <w:rFonts w:hint="eastAsia" w:eastAsia="仿宋_GB2312"/>
          <w:sz w:val="32"/>
          <w:szCs w:val="32"/>
        </w:rPr>
        <w:t>元计付该年度业绩补偿金2</w:t>
      </w:r>
      <w:r>
        <w:rPr>
          <w:rFonts w:eastAsia="仿宋_GB2312"/>
          <w:sz w:val="32"/>
          <w:szCs w:val="32"/>
        </w:rPr>
        <w:t>96</w:t>
      </w:r>
      <w:r>
        <w:rPr>
          <w:rFonts w:hint="eastAsia" w:eastAsia="仿宋_GB2312"/>
          <w:sz w:val="32"/>
          <w:szCs w:val="32"/>
        </w:rPr>
        <w:t>万元，并支付擅自出质目标公司股权的违约金1</w:t>
      </w:r>
      <w:r>
        <w:rPr>
          <w:rFonts w:eastAsia="仿宋_GB2312"/>
          <w:sz w:val="32"/>
          <w:szCs w:val="32"/>
        </w:rPr>
        <w:t>25</w:t>
      </w:r>
      <w:r>
        <w:rPr>
          <w:rFonts w:hint="eastAsia" w:eastAsia="仿宋_GB2312"/>
          <w:sz w:val="32"/>
          <w:szCs w:val="32"/>
        </w:rPr>
        <w:t>万元。</w:t>
      </w:r>
    </w:p>
    <w:p>
      <w:pPr>
        <w:widowControl/>
        <w:snapToGrid w:val="0"/>
        <w:spacing w:line="360" w:lineRule="auto"/>
        <w:ind w:firstLine="640" w:firstLineChars="200"/>
        <w:rPr>
          <w:rFonts w:eastAsia="黑体"/>
          <w:sz w:val="32"/>
          <w:szCs w:val="32"/>
        </w:rPr>
      </w:pPr>
      <w:r>
        <w:rPr>
          <w:rFonts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广州市中级人民法院一审判决富领公司、普罗菲莫公司向广发信德公司回购股权，按照2012年实际净利润为0元支付该年度业绩补偿金</w:t>
      </w:r>
      <w:r>
        <w:rPr>
          <w:rFonts w:eastAsia="仿宋_GB2312"/>
          <w:sz w:val="32"/>
          <w:szCs w:val="32"/>
        </w:rPr>
        <w:t>1</w:t>
      </w:r>
      <w:r>
        <w:rPr>
          <w:rFonts w:hint="eastAsia" w:eastAsia="仿宋_GB2312"/>
          <w:sz w:val="32"/>
          <w:szCs w:val="32"/>
        </w:rPr>
        <w:t>46万元，并支付违约金125万元。广东省高级人民法院二审认为，广发信德公司关于回购股权及支付业绩补偿金的诉讼请求应予支持；广发信德公司主张将目标公司2012年的实际净利润取为负值计算业绩补偿金，系请求其他股东对该年度以后目标公司以其利润弥补亏损的部分作出补偿；广发信德公司售出其所持目标公司股权以后，即不再具有该公司股东身份；此后目标公司其他股东出质该公司股权的行为和该公司以其利润弥补此前年度亏损的行为，对已退出目标公司的广发信德公司已无实际影响；在广发信德公司关于回购股权的诉讼请求已获支持的情况下，其关于富领公司、普罗菲莫公司就擅自出质目标公司股权的行为支付违约金的诉讼请求依据不足，故改判驳回广发信德公司该部分诉讼请求。</w:t>
      </w:r>
    </w:p>
    <w:p>
      <w:pPr>
        <w:widowControl/>
        <w:snapToGrid w:val="0"/>
        <w:spacing w:line="360" w:lineRule="auto"/>
        <w:ind w:firstLine="640" w:firstLineChars="200"/>
        <w:rPr>
          <w:rFonts w:eastAsia="黑体"/>
          <w:sz w:val="32"/>
          <w:szCs w:val="32"/>
        </w:rPr>
      </w:pPr>
      <w:r>
        <w:rPr>
          <w:rFonts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认定“对赌协议”中当事人依据保障目标公司正常经营的违约金条款和业绩补偿条款主张权利的，须以其具有目标公司投资者身份作为前提。依法支持当事人根据“对赌协议”主张权利，平等保护投融资双方的合法权益。</w:t>
      </w:r>
    </w:p>
    <w:p>
      <w:pPr>
        <w:widowControl/>
        <w:snapToGrid w:val="0"/>
        <w:spacing w:line="360" w:lineRule="auto"/>
        <w:ind w:firstLine="640" w:firstLineChars="200"/>
        <w:rPr>
          <w:rFonts w:eastAsia="黑体"/>
          <w:sz w:val="32"/>
          <w:szCs w:val="32"/>
        </w:rPr>
      </w:pPr>
      <w:r>
        <w:rPr>
          <w:rFonts w:ascii="黑体" w:hAnsi="黑体" w:eastAsia="黑体"/>
          <w:sz w:val="32"/>
          <w:szCs w:val="32"/>
        </w:rPr>
        <w:br w:type="page"/>
      </w:r>
    </w:p>
    <w:p>
      <w:pPr>
        <w:widowControl/>
        <w:adjustRightInd/>
        <w:spacing w:line="360" w:lineRule="auto"/>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4</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9" w:name="_Toc101189346"/>
      <w:r>
        <w:rPr>
          <w:rFonts w:hint="eastAsia" w:ascii="方正小标宋简体" w:eastAsia="方正小标宋简体"/>
          <w:kern w:val="44"/>
          <w:sz w:val="36"/>
          <w:szCs w:val="36"/>
        </w:rPr>
        <w:t>周某仪等诉罗某胜等与公司有关的纠纷案</w:t>
      </w:r>
      <w:bookmarkEnd w:id="9"/>
    </w:p>
    <w:p>
      <w:pPr>
        <w:keepNext/>
        <w:keepLines/>
        <w:widowControl/>
        <w:snapToGrid w:val="0"/>
        <w:spacing w:line="360" w:lineRule="auto"/>
        <w:jc w:val="center"/>
        <w:outlineLvl w:val="0"/>
        <w:rPr>
          <w:rFonts w:ascii="楷体_GB2312" w:eastAsia="楷体_GB2312"/>
          <w:kern w:val="44"/>
          <w:sz w:val="32"/>
          <w:szCs w:val="32"/>
        </w:rPr>
      </w:pPr>
      <w:bookmarkStart w:id="10" w:name="_Toc101189347"/>
      <w:r>
        <w:rPr>
          <w:rFonts w:hint="eastAsia" w:ascii="楷体_GB2312" w:eastAsia="楷体_GB2312"/>
          <w:kern w:val="44"/>
          <w:sz w:val="32"/>
          <w:szCs w:val="32"/>
        </w:rPr>
        <w:t>——精准识别正确援引冲突规范，妥善化解跨境商事纠纷</w:t>
      </w:r>
      <w:bookmarkEnd w:id="10"/>
    </w:p>
    <w:p>
      <w:pPr>
        <w:spacing w:line="360" w:lineRule="auto"/>
        <w:ind w:firstLine="643" w:firstLineChars="200"/>
        <w:jc w:val="left"/>
        <w:rPr>
          <w:rFonts w:ascii="仿宋_GB2312" w:eastAsia="仿宋_GB2312"/>
          <w:b/>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hint="eastAsia" w:eastAsia="仿宋_GB2312"/>
          <w:sz w:val="32"/>
          <w:szCs w:val="32"/>
        </w:rPr>
      </w:pPr>
      <w:r>
        <w:rPr>
          <w:rFonts w:hint="eastAsia" w:eastAsia="仿宋_GB2312"/>
          <w:sz w:val="32"/>
          <w:szCs w:val="32"/>
        </w:rPr>
        <w:t>曙天—富利（香港）有限公司2008年8月15日的《周年申报表》显示，公司股东为冯某亮、罗某胜、冯某红，董事为罗某胜、冯某红。2008年12月19日，曙天公司召开股东会，罗某胜、冯某红出席会议，决议同意将曙天公司持有的广东华声电器股份有限公司12.87%股权以221.4万美元转让给佛山市顺德区智富投资发展有限公司。后曙天公司与智富公司签订《股权转让协议》。周某仪与冯某亮系夫妻关系，二人育有三名子女，冯某亮于2001年11月17日死亡，未立遗嘱，其生前经常居住地为内地。周某仪以罗某胜、冯某红未通知周某仪等继承人参加曙天公司股东会议，擅自通过公司决议程序违法为由，起诉请求确认曙天公司转让其持有的华声公司股权的股东会议决议无效，曙天公司与智富公司签订的《股权转让协议》无效，罗某胜、冯某红赔偿周某仪损失及相应利息。</w:t>
      </w:r>
    </w:p>
    <w:p>
      <w:pPr>
        <w:widowControl/>
        <w:snapToGrid w:val="0"/>
        <w:spacing w:line="360" w:lineRule="auto"/>
        <w:ind w:firstLine="640" w:firstLineChars="200"/>
        <w:rPr>
          <w:rFonts w:hint="eastAsia" w:eastAsia="仿宋_GB2312"/>
          <w:sz w:val="32"/>
          <w:szCs w:val="32"/>
        </w:rPr>
      </w:pPr>
    </w:p>
    <w:p>
      <w:pPr>
        <w:widowControl/>
        <w:snapToGrid w:val="0"/>
        <w:spacing w:line="360" w:lineRule="auto"/>
        <w:ind w:firstLine="640" w:firstLineChars="200"/>
        <w:rPr>
          <w:rFonts w:eastAsia="仿宋_GB2312"/>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佛山市中级人民法院一审认为，参照《中华人民共和国涉外民事关系法律适用法》的规定，周某仪作为冯某亮的配偶能否继承冯某亮的股东权益，应适用内地法律；冯某亮对曙天公司享有何种权利，以及罗某胜、冯某红是否侵害曙天公司权利从而侵害冯某亮的股东权益，应适用香港法律。根据《中华人民共和国继承法》《中华人民共和国婚姻法》的规定，对冯某亮享有的曙天公司股权，周某仪有权主张法定继承。根据香港《公司条例》的规定，</w:t>
      </w:r>
      <w:r>
        <w:rPr>
          <w:rFonts w:hint="eastAsia" w:ascii="仿宋_GB2312" w:hAnsi="仿宋" w:eastAsia="仿宋_GB2312"/>
          <w:kern w:val="0"/>
          <w:sz w:val="32"/>
          <w:szCs w:val="32"/>
        </w:rPr>
        <w:t>罗某胜、冯某红决议转让曙天公司持有的股权，该会议召集程序及决议内容均不违反香港有关法律规定，亦未损害周某仪的继承权益。</w:t>
      </w:r>
      <w:r>
        <w:rPr>
          <w:rFonts w:hint="eastAsia" w:eastAsia="仿宋_GB2312"/>
          <w:sz w:val="32"/>
          <w:szCs w:val="32"/>
        </w:rPr>
        <w:t>另外，参照《中华人民共和国涉外民事关系法律适用法》第七条的规定，周某仪主张赔偿损失的诉讼请求时效问题应适用香港法律。案涉股权转让已于2008年完成，周某仪于2016年提起本案诉讼，已超过香港《时效条例》规定的6年诉讼时效期间。故判决驳回周某仪等的诉讼请求。当事人未提起上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黑体"/>
          <w:sz w:val="32"/>
          <w:szCs w:val="32"/>
        </w:rPr>
      </w:pPr>
      <w:r>
        <w:rPr>
          <w:rFonts w:hint="eastAsia" w:eastAsia="仿宋_GB2312"/>
          <w:sz w:val="32"/>
          <w:szCs w:val="32"/>
        </w:rPr>
        <w:t>人民法院根据不同法律关系分别确定法律适用的原则，对同一案件中所涉的法定继承、公司股权转让行为效力及诉讼时效问题，分别适用内地法律和香港法律，有效化解跨境商事纠纷。</w:t>
      </w:r>
      <w:r>
        <w:rPr>
          <w:rFonts w:eastAsia="仿宋_GB2312"/>
          <w:sz w:val="32"/>
          <w:szCs w:val="32"/>
        </w:rPr>
        <w:br w:type="page"/>
      </w:r>
    </w:p>
    <w:p>
      <w:pPr>
        <w:widowControl/>
        <w:adjustRightInd/>
        <w:spacing w:line="360" w:lineRule="auto"/>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5</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11" w:name="_Toc101189355"/>
      <w:r>
        <w:rPr>
          <w:rFonts w:hint="eastAsia" w:ascii="方正小标宋简体" w:eastAsia="方正小标宋简体"/>
          <w:kern w:val="44"/>
          <w:sz w:val="36"/>
          <w:szCs w:val="36"/>
        </w:rPr>
        <w:t>彭某明诉绿缘公司解散公司纠纷案</w:t>
      </w:r>
      <w:bookmarkEnd w:id="11"/>
    </w:p>
    <w:p>
      <w:pPr>
        <w:keepNext/>
        <w:keepLines/>
        <w:widowControl/>
        <w:snapToGrid w:val="0"/>
        <w:spacing w:line="360" w:lineRule="auto"/>
        <w:jc w:val="center"/>
        <w:outlineLvl w:val="0"/>
        <w:rPr>
          <w:rFonts w:ascii="楷体_GB2312" w:eastAsia="楷体_GB2312"/>
          <w:kern w:val="44"/>
          <w:sz w:val="32"/>
          <w:szCs w:val="32"/>
        </w:rPr>
      </w:pPr>
      <w:bookmarkStart w:id="12" w:name="_Toc101189356"/>
      <w:r>
        <w:rPr>
          <w:rFonts w:hint="eastAsia" w:ascii="楷体_GB2312" w:eastAsia="楷体_GB2312"/>
          <w:kern w:val="44"/>
          <w:sz w:val="32"/>
          <w:szCs w:val="32"/>
        </w:rPr>
        <w:t>——审慎认定港资公司僵局，保护股东合法权益</w:t>
      </w:r>
      <w:bookmarkEnd w:id="12"/>
    </w:p>
    <w:p>
      <w:pPr>
        <w:spacing w:line="360" w:lineRule="auto"/>
        <w:ind w:firstLine="640"/>
        <w:rPr>
          <w:rFonts w:ascii="黑体" w:hAnsi="黑体" w:eastAsia="黑体"/>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ind w:firstLine="640" w:firstLineChars="200"/>
        <w:rPr>
          <w:rFonts w:eastAsia="仿宋_GB2312"/>
          <w:sz w:val="32"/>
          <w:szCs w:val="32"/>
        </w:rPr>
      </w:pPr>
      <w:r>
        <w:rPr>
          <w:rFonts w:hint="eastAsia" w:eastAsia="仿宋_GB2312"/>
          <w:sz w:val="32"/>
          <w:szCs w:val="32"/>
        </w:rPr>
        <w:t>香港居民彭某明系佛山市绿缘生态科技有限公司股东、董事，其持股比例为33.5%。在公司经营过程中，彭某明认为绿缘公司因各董事之间对立，公司的经营管理发生严重困难。彭某明遂提起诉讼，请求解散绿缘公司。</w:t>
      </w:r>
    </w:p>
    <w:p>
      <w:pPr>
        <w:ind w:firstLine="640" w:firstLineChars="200"/>
        <w:rPr>
          <w:rFonts w:eastAsia="仿宋_GB2312"/>
          <w:sz w:val="32"/>
          <w:szCs w:val="32"/>
        </w:rPr>
      </w:pPr>
      <w:r>
        <w:rPr>
          <w:rFonts w:hint="eastAsia" w:eastAsia="黑体"/>
          <w:sz w:val="32"/>
          <w:szCs w:val="32"/>
        </w:rPr>
        <w:t>裁判结果</w:t>
      </w:r>
    </w:p>
    <w:p>
      <w:pPr>
        <w:ind w:firstLine="640" w:firstLineChars="200"/>
        <w:rPr>
          <w:rFonts w:eastAsia="仿宋_GB2312"/>
          <w:sz w:val="32"/>
          <w:szCs w:val="32"/>
        </w:rPr>
      </w:pPr>
      <w:r>
        <w:rPr>
          <w:rFonts w:hint="eastAsia" w:eastAsia="仿宋_GB2312"/>
          <w:sz w:val="32"/>
          <w:szCs w:val="32"/>
        </w:rPr>
        <w:t>佛山市高明区人民法院一审判决支持彭某明解散绿缘公司的诉讼请求。佛山市中级人民法院二审认为，公司僵局的判断标准是公司内部决策机制失灵导致公司经营管理出现严重困难，应当从公司组织机构的运行状态进行综合分析。彭某明等提交的证据仅表明各股东对公司的控制权方面存在矛盾，但该矛盾可以通过公司的内部治理方式解决，不足以证明导致公司经营出现严重恶化，从而导致股东利益受到重大损失。绿缘公司客观上仍存在召开股东会解决公司内部问题的机会，且该公司从事的林木种植行业，需长期经营方能产生经济效益，若中途解散公司，将有损股东权益。故改判驳回彭某明解散公司的诉讼请求。</w:t>
      </w:r>
    </w:p>
    <w:p>
      <w:pPr>
        <w:ind w:firstLine="640" w:firstLineChars="200"/>
        <w:rPr>
          <w:rFonts w:eastAsia="仿宋_GB2312"/>
          <w:sz w:val="32"/>
          <w:szCs w:val="32"/>
        </w:rPr>
      </w:pPr>
      <w:r>
        <w:rPr>
          <w:rFonts w:hint="eastAsia" w:eastAsia="黑体"/>
          <w:sz w:val="32"/>
          <w:szCs w:val="32"/>
        </w:rPr>
        <w:t>典型意义</w:t>
      </w:r>
    </w:p>
    <w:p>
      <w:pPr>
        <w:ind w:firstLine="640" w:firstLineChars="200"/>
        <w:rPr>
          <w:rFonts w:eastAsia="仿宋_GB2312"/>
          <w:sz w:val="32"/>
          <w:szCs w:val="32"/>
        </w:rPr>
      </w:pPr>
      <w:r>
        <w:rPr>
          <w:rFonts w:hint="eastAsia" w:eastAsia="仿宋_GB2312"/>
          <w:sz w:val="32"/>
          <w:szCs w:val="32"/>
        </w:rPr>
        <w:t>人民法院依法认定不存在公司内部决策机制失灵的情况下，不以股东内部矛盾轻易解散公司，有效维护公司正常经营秩序。</w:t>
      </w:r>
    </w:p>
    <w:p>
      <w:pPr>
        <w:widowControl/>
        <w:adjustRightInd/>
        <w:jc w:val="left"/>
        <w:rPr>
          <w:rFonts w:ascii="黑体" w:hAnsi="黑体" w:eastAsia="黑体"/>
          <w:sz w:val="32"/>
          <w:szCs w:val="32"/>
        </w:rPr>
      </w:pPr>
      <w:r>
        <w:rPr>
          <w:rFonts w:ascii="黑体" w:hAnsi="黑体" w:eastAsia="黑体"/>
          <w:sz w:val="32"/>
          <w:szCs w:val="32"/>
        </w:rPr>
        <w:br w:type="page"/>
      </w:r>
    </w:p>
    <w:p>
      <w:pPr>
        <w:widowControl/>
        <w:adjustRightInd/>
        <w:spacing w:line="360" w:lineRule="auto"/>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6</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13" w:name="_Toc101189359"/>
      <w:r>
        <w:rPr>
          <w:rFonts w:hint="eastAsia" w:ascii="方正小标宋简体" w:eastAsia="方正小标宋简体"/>
          <w:kern w:val="44"/>
          <w:sz w:val="36"/>
          <w:szCs w:val="36"/>
        </w:rPr>
        <w:t>关某诉介某等合伙企业财产份额转让纠纷案</w:t>
      </w:r>
      <w:bookmarkEnd w:id="13"/>
    </w:p>
    <w:p>
      <w:pPr>
        <w:jc w:val="center"/>
      </w:pPr>
      <w:r>
        <w:rPr>
          <w:rFonts w:hint="eastAsia" w:ascii="楷体_GB2312" w:eastAsia="楷体_GB2312"/>
          <w:sz w:val="32"/>
          <w:szCs w:val="32"/>
        </w:rPr>
        <w:t>——</w:t>
      </w:r>
      <w:r>
        <w:rPr>
          <w:rFonts w:hint="eastAsia" w:ascii="楷体_GB2312" w:eastAsia="楷体_GB2312"/>
          <w:kern w:val="44"/>
          <w:sz w:val="32"/>
          <w:szCs w:val="32"/>
        </w:rPr>
        <w:t>依约认定员工辞职后股权激励份额归属，</w:t>
      </w:r>
    </w:p>
    <w:p>
      <w:pPr>
        <w:keepNext/>
        <w:keepLines/>
        <w:widowControl/>
        <w:snapToGrid w:val="0"/>
        <w:spacing w:line="360" w:lineRule="auto"/>
        <w:jc w:val="center"/>
        <w:outlineLvl w:val="0"/>
        <w:rPr>
          <w:rFonts w:ascii="楷体_GB2312" w:eastAsia="楷体_GB2312"/>
          <w:kern w:val="44"/>
          <w:sz w:val="32"/>
          <w:szCs w:val="32"/>
        </w:rPr>
      </w:pPr>
      <w:bookmarkStart w:id="14" w:name="_Toc101189360"/>
      <w:r>
        <w:rPr>
          <w:rFonts w:hint="eastAsia" w:ascii="楷体_GB2312" w:eastAsia="楷体_GB2312"/>
          <w:kern w:val="44"/>
          <w:sz w:val="32"/>
          <w:szCs w:val="32"/>
        </w:rPr>
        <w:t>保护跨境投资者权益</w:t>
      </w:r>
      <w:bookmarkEnd w:id="14"/>
    </w:p>
    <w:p>
      <w:pPr>
        <w:spacing w:line="360" w:lineRule="auto"/>
        <w:jc w:val="left"/>
        <w:rPr>
          <w:rFonts w:ascii="仿宋_GB2312" w:hAnsi="仿宋"/>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香港居民关某是</w:t>
      </w:r>
      <w:r>
        <w:rPr>
          <w:rFonts w:eastAsia="仿宋_GB2312"/>
          <w:sz w:val="32"/>
          <w:szCs w:val="32"/>
        </w:rPr>
        <w:t>广州埃信投资管理中心（</w:t>
      </w:r>
      <w:r>
        <w:rPr>
          <w:rFonts w:hint="eastAsia" w:eastAsia="仿宋_GB2312"/>
          <w:sz w:val="32"/>
          <w:szCs w:val="32"/>
        </w:rPr>
        <w:t>有限合伙</w:t>
      </w:r>
      <w:r>
        <w:rPr>
          <w:rFonts w:eastAsia="仿宋_GB2312"/>
          <w:sz w:val="32"/>
          <w:szCs w:val="32"/>
        </w:rPr>
        <w:t>）</w:t>
      </w:r>
      <w:r>
        <w:rPr>
          <w:rFonts w:hint="eastAsia" w:eastAsia="仿宋_GB2312"/>
          <w:sz w:val="32"/>
          <w:szCs w:val="32"/>
        </w:rPr>
        <w:t>的合伙人之一，介某等6人是埃信合伙企业的员工。为激励员工积极性，关某与介某等6名员工分别签订《股权激励协议》，约定将埃信合伙企业1.18%至2.36%不等的份额赠与介某等6人，介某等6人成为埃信合伙企业的合伙人。签订协议半年后，介某等6人陆续离职。关某要求6被告办理退股和转股手续，将所占的埃信合伙企业的份额返还给关某，被介某等6人拒绝，关某遂起诉至法院。</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广州市南沙区人民法院一审认为，埃信合伙企业财产份额转让发生在内地，根据最密切联系原则，内地法律为解决本案争议的准据法。关某与介某等六人签订的《股权激励协议》合法有效，合伙财产份额已经转让。根据《股权激励协议》的约定，若介某等人非正常离职，则自动丧失其享受合伙企业股权激励的资格，其持有的全部合伙财产份额由关某无条件无偿收回。现介某等6人非正常离职，应当将其所持有的合伙财产份额返还给关某。故判决介某等6人返还合伙企业财产份额，并协助关某办理变更登记手续。当事人未提起上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人民法院依照《股权激励协议》的约定，认定员工受赠股份后非正常离职，有悖企业股权激励的合同目的，构成违约，依法保护香港合伙人的投资权益。</w:t>
      </w:r>
    </w:p>
    <w:p>
      <w:pPr>
        <w:widowControl/>
        <w:adjustRightInd/>
        <w:jc w:val="left"/>
        <w:rPr>
          <w:rFonts w:ascii="黑体" w:hAnsi="黑体" w:eastAsia="黑体"/>
          <w:sz w:val="32"/>
          <w:szCs w:val="32"/>
        </w:rPr>
      </w:pPr>
      <w:r>
        <w:rPr>
          <w:rFonts w:ascii="黑体" w:hAnsi="黑体" w:eastAsia="黑体"/>
          <w:sz w:val="32"/>
          <w:szCs w:val="32"/>
        </w:rPr>
        <w:br w:type="page"/>
      </w:r>
    </w:p>
    <w:p>
      <w:pPr>
        <w:tabs>
          <w:tab w:val="left" w:pos="361"/>
        </w:tabs>
        <w:adjustRightInd/>
        <w:contextualSpacing/>
        <w:jc w:val="left"/>
        <w:rPr>
          <w:rFonts w:eastAsia="仿宋_GB2312"/>
          <w:sz w:val="32"/>
          <w:szCs w:val="32"/>
        </w:rPr>
      </w:pPr>
      <w:r>
        <w:rPr>
          <w:rFonts w:ascii="黑体" w:hAnsi="黑体" w:eastAsia="黑体"/>
          <w:sz w:val="32"/>
          <w:szCs w:val="32"/>
        </w:rPr>
        <w:t>案例</w:t>
      </w:r>
      <w:r>
        <w:rPr>
          <w:rFonts w:hint="eastAsia" w:ascii="黑体" w:hAnsi="黑体" w:eastAsia="黑体"/>
          <w:sz w:val="32"/>
          <w:szCs w:val="32"/>
        </w:rPr>
        <w:t>7</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15" w:name="_Toc101189340"/>
      <w:r>
        <w:rPr>
          <w:rFonts w:hint="eastAsia" w:ascii="方正小标宋简体" w:eastAsia="方正小标宋简体"/>
          <w:kern w:val="44"/>
          <w:sz w:val="36"/>
          <w:szCs w:val="36"/>
        </w:rPr>
        <w:t>陈某慈、青上公司诉陈某贵等侵权责任纠纷案</w:t>
      </w:r>
      <w:bookmarkEnd w:id="15"/>
    </w:p>
    <w:p>
      <w:pPr>
        <w:keepNext/>
        <w:keepLines/>
        <w:widowControl/>
        <w:snapToGrid w:val="0"/>
        <w:spacing w:line="360" w:lineRule="auto"/>
        <w:jc w:val="center"/>
        <w:outlineLvl w:val="0"/>
        <w:rPr>
          <w:rFonts w:ascii="楷体_GB2312" w:eastAsia="楷体_GB2312"/>
          <w:kern w:val="44"/>
          <w:sz w:val="32"/>
          <w:szCs w:val="32"/>
        </w:rPr>
      </w:pPr>
      <w:bookmarkStart w:id="16" w:name="_Toc101189341"/>
      <w:r>
        <w:rPr>
          <w:rFonts w:hint="eastAsia" w:ascii="楷体_GB2312" w:eastAsia="楷体_GB2312"/>
          <w:kern w:val="44"/>
          <w:sz w:val="32"/>
          <w:szCs w:val="32"/>
        </w:rPr>
        <w:t>——适用香港法律认定香港公司股东会决议效力，</w:t>
      </w:r>
      <w:bookmarkEnd w:id="16"/>
    </w:p>
    <w:p>
      <w:pPr>
        <w:keepNext/>
        <w:keepLines/>
        <w:widowControl/>
        <w:snapToGrid w:val="0"/>
        <w:spacing w:line="360" w:lineRule="auto"/>
        <w:jc w:val="center"/>
        <w:outlineLvl w:val="0"/>
        <w:rPr>
          <w:rFonts w:ascii="楷体_GB2312" w:eastAsia="楷体_GB2312"/>
          <w:kern w:val="44"/>
          <w:sz w:val="32"/>
          <w:szCs w:val="32"/>
        </w:rPr>
      </w:pPr>
      <w:bookmarkStart w:id="17" w:name="_Toc101189342"/>
      <w:r>
        <w:rPr>
          <w:rFonts w:hint="eastAsia" w:ascii="楷体_GB2312" w:eastAsia="楷体_GB2312"/>
          <w:kern w:val="44"/>
          <w:sz w:val="32"/>
          <w:szCs w:val="32"/>
        </w:rPr>
        <w:t>维护公司治理秩序</w:t>
      </w:r>
      <w:bookmarkEnd w:id="17"/>
    </w:p>
    <w:p>
      <w:pPr>
        <w:adjustRightInd/>
        <w:spacing w:line="360" w:lineRule="auto"/>
        <w:rPr>
          <w:rFonts w:eastAsia="仿宋_GB2312"/>
          <w:b/>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富利香港有限公司是广东佛山青上肥料制造有限公司的唯一股东。富利公司作出股东会决议，罢免陈某慈富利公司董事及青上公司董事长职位、任命陈某贵为青上公司董事。陈某贵依据上述决议，取走了青上公司公章。陈某慈、青上公司认为，陈某贵取走并滥用青上公司公章的行为已构成侵权，遂提起诉讼，要求陈某贵停止进行青上公司工商变更登记的侵权行为，并返还青上公司公章。</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佛山市三水区人民法院一审认为，富利公司系在香港注册成立的公司，参照《中华人民共和国涉外民事关系法律适用法》第十四条第一款的规定，应适用香港法律对富利公司股东会决议的效力进行审查。根据香港《公司条例》以及香港律师出具的法律意见，富利公司股东会的召开未达到有效的法定人数，案涉股东会决议无效。因此，该决议作出的任命陈某贵为青上公司董事的事项亦不具备法律效力，陈某贵无权代表富利公司对青上公司行使权利，其取走青上公司公章且拒不返还的行为已侵犯青上公司的经营管理权。但因青上公司已对公章作遗失处理，公章无返还必要。陈某贵虽然向工商行政管理部门递交了变更青上公司法定代表人的申请，但该申请已被青上公司撤回，陈某贵的行为并没有产生相应法律后果。故判决驳回陈某慈、青上公司的诉讼请求。佛山市中级人民法院二审驳回上诉，维持原判。</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人民法院依据公司注册登记地法律即香港法律，准确认定香港公司股东会决议的效力，有效化解公司因自治机制失灵而产生的内部矛盾，维护公司经营稳定。</w:t>
      </w:r>
    </w:p>
    <w:p>
      <w:pPr>
        <w:widowControl/>
        <w:adjustRightInd/>
        <w:jc w:val="left"/>
        <w:rPr>
          <w:rFonts w:ascii="黑体" w:hAnsi="黑体" w:eastAsia="黑体"/>
          <w:sz w:val="32"/>
          <w:szCs w:val="32"/>
        </w:rPr>
      </w:pPr>
      <w:r>
        <w:rPr>
          <w:rFonts w:ascii="黑体" w:hAnsi="黑体" w:eastAsia="黑体"/>
          <w:sz w:val="32"/>
          <w:szCs w:val="32"/>
        </w:rPr>
        <w:br w:type="page"/>
      </w:r>
    </w:p>
    <w:p>
      <w:pPr>
        <w:widowControl/>
        <w:adjustRightInd/>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8</w:t>
      </w:r>
    </w:p>
    <w:p>
      <w:pPr>
        <w:widowControl/>
        <w:snapToGrid w:val="0"/>
        <w:spacing w:line="360" w:lineRule="auto"/>
        <w:rPr>
          <w:rFonts w:ascii="宋体" w:hAnsi="宋体"/>
          <w:sz w:val="32"/>
          <w:szCs w:val="32"/>
        </w:rPr>
      </w:pPr>
    </w:p>
    <w:p>
      <w:pPr>
        <w:keepNext/>
        <w:keepLines/>
        <w:widowControl/>
        <w:spacing w:line="360" w:lineRule="auto"/>
        <w:jc w:val="center"/>
        <w:outlineLvl w:val="0"/>
        <w:rPr>
          <w:rFonts w:ascii="方正小标宋简体" w:eastAsia="方正小标宋简体"/>
          <w:spacing w:val="-8"/>
          <w:kern w:val="44"/>
          <w:sz w:val="36"/>
          <w:szCs w:val="36"/>
        </w:rPr>
      </w:pPr>
      <w:bookmarkStart w:id="18" w:name="_Toc100329486"/>
      <w:r>
        <w:rPr>
          <w:rFonts w:ascii="方正小标宋简体" w:eastAsia="方正小标宋简体"/>
          <w:spacing w:val="-8"/>
          <w:kern w:val="44"/>
          <w:sz w:val="36"/>
          <w:szCs w:val="36"/>
        </w:rPr>
        <w:t>澳门华人银行</w:t>
      </w:r>
      <w:r>
        <w:rPr>
          <w:rFonts w:hint="eastAsia" w:ascii="方正小标宋简体" w:eastAsia="方正小标宋简体"/>
          <w:spacing w:val="-8"/>
          <w:kern w:val="44"/>
          <w:sz w:val="36"/>
          <w:szCs w:val="36"/>
        </w:rPr>
        <w:t>诉</w:t>
      </w:r>
      <w:r>
        <w:rPr>
          <w:rFonts w:ascii="方正小标宋简体" w:eastAsia="方正小标宋简体"/>
          <w:spacing w:val="-8"/>
          <w:kern w:val="44"/>
          <w:sz w:val="36"/>
          <w:szCs w:val="36"/>
        </w:rPr>
        <w:t>周</w:t>
      </w:r>
      <w:r>
        <w:rPr>
          <w:rFonts w:hint="eastAsia" w:ascii="方正小标宋简体" w:eastAsia="方正小标宋简体"/>
          <w:spacing w:val="-8"/>
          <w:kern w:val="44"/>
          <w:sz w:val="36"/>
          <w:szCs w:val="36"/>
        </w:rPr>
        <w:t>某</w:t>
      </w:r>
      <w:r>
        <w:rPr>
          <w:rFonts w:ascii="方正小标宋简体" w:eastAsia="方正小标宋简体"/>
          <w:spacing w:val="-8"/>
          <w:kern w:val="44"/>
          <w:sz w:val="36"/>
          <w:szCs w:val="36"/>
        </w:rPr>
        <w:t>华、尹</w:t>
      </w:r>
      <w:r>
        <w:rPr>
          <w:rFonts w:hint="eastAsia" w:ascii="方正小标宋简体" w:eastAsia="方正小标宋简体"/>
          <w:spacing w:val="-8"/>
          <w:kern w:val="44"/>
          <w:sz w:val="36"/>
          <w:szCs w:val="36"/>
        </w:rPr>
        <w:t>某</w:t>
      </w:r>
      <w:r>
        <w:rPr>
          <w:rFonts w:ascii="方正小标宋简体" w:eastAsia="方正小标宋简体"/>
          <w:spacing w:val="-8"/>
          <w:kern w:val="44"/>
          <w:sz w:val="36"/>
          <w:szCs w:val="36"/>
        </w:rPr>
        <w:t>艳金融借款合同纠纷案</w:t>
      </w:r>
      <w:bookmarkEnd w:id="18"/>
    </w:p>
    <w:p>
      <w:pPr>
        <w:keepNext/>
        <w:keepLines/>
        <w:widowControl/>
        <w:spacing w:line="360" w:lineRule="auto"/>
        <w:jc w:val="center"/>
        <w:outlineLvl w:val="0"/>
        <w:rPr>
          <w:rFonts w:ascii="楷体_GB2312" w:eastAsia="楷体_GB2312"/>
          <w:kern w:val="44"/>
          <w:sz w:val="32"/>
          <w:szCs w:val="32"/>
        </w:rPr>
      </w:pPr>
      <w:bookmarkStart w:id="19" w:name="_Toc57206937"/>
      <w:bookmarkStart w:id="20" w:name="_Toc57208019"/>
      <w:bookmarkStart w:id="21" w:name="_Toc57622401"/>
      <w:bookmarkStart w:id="22" w:name="_Toc100329487"/>
      <w:r>
        <w:rPr>
          <w:rFonts w:ascii="楷体_GB2312" w:eastAsia="楷体_GB2312"/>
          <w:kern w:val="44"/>
          <w:sz w:val="32"/>
          <w:szCs w:val="32"/>
        </w:rPr>
        <w:t>——</w:t>
      </w:r>
      <w:bookmarkEnd w:id="19"/>
      <w:bookmarkEnd w:id="20"/>
      <w:bookmarkEnd w:id="21"/>
      <w:bookmarkEnd w:id="22"/>
      <w:r>
        <w:rPr>
          <w:rFonts w:hint="eastAsia" w:ascii="楷体_GB2312" w:eastAsia="楷体_GB2312"/>
          <w:kern w:val="44"/>
          <w:sz w:val="32"/>
          <w:szCs w:val="32"/>
        </w:rPr>
        <w:t>依约适用澳门法律解决跨境金融纠纷</w:t>
      </w:r>
    </w:p>
    <w:p>
      <w:pPr>
        <w:adjustRightInd/>
        <w:spacing w:line="600" w:lineRule="exact"/>
        <w:jc w:val="center"/>
        <w:rPr>
          <w:rFonts w:ascii="仿宋_GB2312" w:hAnsi="黑体" w:eastAsia="仿宋_GB2312" w:cs="宋体"/>
          <w:b/>
          <w:kern w:val="0"/>
          <w:sz w:val="32"/>
          <w:szCs w:val="32"/>
        </w:rPr>
      </w:pPr>
    </w:p>
    <w:p>
      <w:pPr>
        <w:widowControl/>
        <w:spacing w:line="360" w:lineRule="auto"/>
        <w:ind w:firstLine="640" w:firstLineChars="200"/>
        <w:rPr>
          <w:rFonts w:eastAsia="黑体"/>
          <w:sz w:val="32"/>
          <w:szCs w:val="32"/>
        </w:rPr>
      </w:pPr>
      <w:r>
        <w:rPr>
          <w:rFonts w:hint="eastAsia" w:eastAsia="黑体"/>
          <w:sz w:val="32"/>
          <w:szCs w:val="32"/>
        </w:rPr>
        <w:t>基本案情</w:t>
      </w:r>
    </w:p>
    <w:p>
      <w:pPr>
        <w:autoSpaceDE w:val="0"/>
        <w:autoSpaceDN w:val="0"/>
        <w:spacing w:line="600" w:lineRule="exact"/>
        <w:ind w:firstLine="600"/>
        <w:rPr>
          <w:rFonts w:eastAsia="仿宋_GB2312"/>
          <w:sz w:val="32"/>
          <w:szCs w:val="32"/>
        </w:rPr>
      </w:pPr>
      <w:r>
        <w:rPr>
          <w:rFonts w:hint="eastAsia" w:eastAsia="仿宋_GB2312"/>
          <w:sz w:val="32"/>
          <w:szCs w:val="32"/>
        </w:rPr>
        <w:t>周某华于2016年1月21日向澳门华人银行出具《借款契据》，约定周某华向华人银行办理投资贷款，未订明事项一概依照澳门现行法例办理。《借款契据》及相关资料签订之后，华人银行依约向周某华发放贷款港币94万元。2018年9月24日之后，周某华的账户未有足够的款项扣款还贷。华人银行提起本案诉讼，要求支付剩余借款本息及实现债权的费用。</w:t>
      </w:r>
    </w:p>
    <w:p>
      <w:pPr>
        <w:widowControl/>
        <w:spacing w:line="360" w:lineRule="auto"/>
        <w:ind w:firstLine="640" w:firstLineChars="200"/>
        <w:rPr>
          <w:rFonts w:eastAsia="黑体"/>
          <w:sz w:val="32"/>
          <w:szCs w:val="32"/>
        </w:rPr>
      </w:pPr>
      <w:r>
        <w:rPr>
          <w:rFonts w:hint="eastAsia" w:eastAsia="黑体"/>
          <w:sz w:val="32"/>
          <w:szCs w:val="32"/>
        </w:rPr>
        <w:t>裁判结果</w:t>
      </w:r>
    </w:p>
    <w:p>
      <w:pPr>
        <w:autoSpaceDE w:val="0"/>
        <w:autoSpaceDN w:val="0"/>
        <w:spacing w:line="600" w:lineRule="exact"/>
        <w:ind w:firstLine="640" w:firstLineChars="200"/>
        <w:rPr>
          <w:rFonts w:eastAsia="仿宋_GB2312"/>
          <w:sz w:val="32"/>
          <w:szCs w:val="32"/>
        </w:rPr>
      </w:pPr>
      <w:r>
        <w:rPr>
          <w:rFonts w:hint="eastAsia" w:eastAsia="仿宋_GB2312"/>
          <w:sz w:val="32"/>
          <w:szCs w:val="32"/>
        </w:rPr>
        <w:t>珠海横琴新区人民法院一审认为，根据《借款契据》约定，案涉合同条款争议应适用澳门法律。澳门执业律师麦某业出具《法律意见书》，查明案涉澳门《民法典》、澳门《商法典》、澳门《民事诉讼法典》及澳门特别行政区第29/2006号行政命令相关内容。法院经审理采信《法律意见书》的法律查明内容，判令周某华依约向华人银行偿还剩余贷款本金港币731905.89元及相应利息和律师费。当事人未提起上诉。</w:t>
      </w:r>
    </w:p>
    <w:p>
      <w:pPr>
        <w:autoSpaceDE w:val="0"/>
        <w:autoSpaceDN w:val="0"/>
        <w:spacing w:line="600" w:lineRule="exact"/>
        <w:ind w:firstLine="640" w:firstLineChars="200"/>
        <w:rPr>
          <w:rFonts w:eastAsia="黑体"/>
          <w:sz w:val="32"/>
          <w:szCs w:val="32"/>
        </w:rPr>
      </w:pPr>
      <w:r>
        <w:rPr>
          <w:rFonts w:hint="eastAsia" w:eastAsia="黑体"/>
          <w:sz w:val="32"/>
          <w:szCs w:val="32"/>
        </w:rPr>
        <w:t>典型意义</w:t>
      </w:r>
    </w:p>
    <w:p>
      <w:pPr>
        <w:tabs>
          <w:tab w:val="left" w:pos="361"/>
        </w:tabs>
        <w:adjustRightInd/>
        <w:ind w:firstLine="617" w:firstLineChars="193"/>
        <w:contextualSpacing/>
        <w:jc w:val="left"/>
        <w:rPr>
          <w:rFonts w:eastAsia="仿宋_GB2312"/>
          <w:sz w:val="32"/>
          <w:szCs w:val="32"/>
        </w:rPr>
      </w:pPr>
      <w:r>
        <w:rPr>
          <w:rFonts w:hint="eastAsia" w:eastAsia="仿宋_GB2312"/>
          <w:sz w:val="32"/>
          <w:szCs w:val="32"/>
        </w:rPr>
        <w:t>人民法院依据当事人的约定适用澳门法律审理跨境商事合同纠纷，认定违约方应承担的民事责任，保障跨境金融交易秩序。</w:t>
      </w:r>
    </w:p>
    <w:p>
      <w:pPr>
        <w:widowControl/>
        <w:adjustRightInd/>
        <w:jc w:val="left"/>
        <w:rPr>
          <w:rFonts w:eastAsia="仿宋_GB2312"/>
          <w:sz w:val="32"/>
          <w:szCs w:val="32"/>
        </w:rPr>
      </w:pPr>
      <w:r>
        <w:rPr>
          <w:rFonts w:eastAsia="仿宋_GB2312"/>
          <w:sz w:val="32"/>
          <w:szCs w:val="32"/>
        </w:rPr>
        <w:br w:type="page"/>
      </w:r>
    </w:p>
    <w:p>
      <w:pPr>
        <w:tabs>
          <w:tab w:val="left" w:pos="361"/>
        </w:tabs>
        <w:adjustRightInd/>
        <w:contextualSpacing/>
        <w:jc w:val="left"/>
        <w:rPr>
          <w:rFonts w:ascii="黑体" w:hAnsi="黑体" w:eastAsia="黑体"/>
          <w:sz w:val="32"/>
          <w:szCs w:val="32"/>
        </w:rPr>
      </w:pPr>
    </w:p>
    <w:p>
      <w:pPr>
        <w:widowControl/>
        <w:adjustRightInd/>
        <w:spacing w:line="360" w:lineRule="auto"/>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9</w:t>
      </w:r>
    </w:p>
    <w:p>
      <w:pPr>
        <w:widowControl/>
        <w:adjustRightInd/>
        <w:spacing w:line="360" w:lineRule="auto"/>
        <w:jc w:val="left"/>
        <w:rPr>
          <w:rFonts w:ascii="黑体" w:hAnsi="黑体" w:eastAsia="黑体"/>
          <w:sz w:val="32"/>
          <w:szCs w:val="32"/>
        </w:rPr>
      </w:pPr>
    </w:p>
    <w:p>
      <w:pPr>
        <w:keepNext/>
        <w:keepLines/>
        <w:widowControl/>
        <w:spacing w:line="360" w:lineRule="auto"/>
        <w:jc w:val="center"/>
        <w:outlineLvl w:val="0"/>
        <w:rPr>
          <w:rFonts w:ascii="方正小标宋简体" w:eastAsia="方正小标宋简体"/>
          <w:spacing w:val="-8"/>
          <w:kern w:val="44"/>
          <w:sz w:val="36"/>
          <w:szCs w:val="36"/>
        </w:rPr>
      </w:pPr>
      <w:r>
        <w:rPr>
          <w:rFonts w:hint="eastAsia" w:ascii="方正小标宋简体" w:eastAsia="方正小标宋简体"/>
          <w:spacing w:val="-8"/>
          <w:kern w:val="44"/>
          <w:sz w:val="36"/>
          <w:szCs w:val="36"/>
        </w:rPr>
        <w:t>迦德公司诉诚禧贸易部、麦某转等买卖合同</w:t>
      </w:r>
      <w:r>
        <w:rPr>
          <w:rFonts w:ascii="方正小标宋简体" w:eastAsia="方正小标宋简体"/>
          <w:spacing w:val="-8"/>
          <w:kern w:val="44"/>
          <w:sz w:val="36"/>
          <w:szCs w:val="36"/>
        </w:rPr>
        <w:t>纠纷案</w:t>
      </w:r>
    </w:p>
    <w:p>
      <w:pPr>
        <w:keepNext/>
        <w:keepLines/>
        <w:widowControl/>
        <w:spacing w:line="360" w:lineRule="auto"/>
        <w:jc w:val="center"/>
        <w:outlineLvl w:val="0"/>
        <w:rPr>
          <w:rFonts w:ascii="楷体_GB2312" w:eastAsia="楷体_GB2312"/>
          <w:kern w:val="44"/>
          <w:sz w:val="32"/>
          <w:szCs w:val="32"/>
        </w:rPr>
      </w:pPr>
      <w:bookmarkStart w:id="23" w:name="_Toc100329467"/>
      <w:r>
        <w:rPr>
          <w:rFonts w:hint="eastAsia" w:ascii="楷体_GB2312" w:eastAsia="楷体_GB2312"/>
          <w:kern w:val="44"/>
          <w:sz w:val="32"/>
          <w:szCs w:val="32"/>
        </w:rPr>
        <w:t>——在香港法院起诉构成在内地诉讼时效的中断</w:t>
      </w:r>
      <w:bookmarkEnd w:id="23"/>
    </w:p>
    <w:p>
      <w:pPr>
        <w:spacing w:line="360" w:lineRule="auto"/>
        <w:rPr>
          <w:rFonts w:ascii="仿宋_GB2312" w:hAnsi="宋体" w:eastAsia="仿宋_GB2312" w:cs="宋体"/>
          <w:kern w:val="0"/>
          <w:sz w:val="32"/>
          <w:szCs w:val="32"/>
        </w:rPr>
      </w:pPr>
    </w:p>
    <w:p>
      <w:pPr>
        <w:widowControl/>
        <w:spacing w:line="360" w:lineRule="auto"/>
        <w:ind w:firstLine="640" w:firstLineChars="200"/>
        <w:rPr>
          <w:rFonts w:eastAsia="黑体"/>
          <w:sz w:val="32"/>
          <w:szCs w:val="32"/>
        </w:rPr>
      </w:pPr>
      <w:r>
        <w:rPr>
          <w:rFonts w:eastAsia="黑体"/>
          <w:sz w:val="32"/>
          <w:szCs w:val="32"/>
        </w:rPr>
        <w:t>基本案情</w:t>
      </w:r>
    </w:p>
    <w:p>
      <w:pPr>
        <w:spacing w:line="360" w:lineRule="auto"/>
        <w:ind w:firstLine="640" w:firstLineChars="200"/>
        <w:rPr>
          <w:rFonts w:eastAsia="仿宋_GB2312"/>
          <w:sz w:val="32"/>
          <w:szCs w:val="32"/>
        </w:rPr>
      </w:pPr>
      <w:r>
        <w:rPr>
          <w:rFonts w:hint="eastAsia" w:eastAsia="仿宋_GB2312"/>
          <w:sz w:val="32"/>
          <w:szCs w:val="32"/>
        </w:rPr>
        <w:t>佛山市顺德区尚桦塑料贸易部以佛山市顺德区杏坛镇诚禧塑料贸易部的名义向迦德投资有限公司购买塑胶，随后其再将塑胶转售给诚禧贸易部。双方交易时，《签收单》和提单上加盖了“诚禧贸易部”的印章，载明逾期欠款加收每月2%的利息。迦德公司交付货物后，诚禧贸易部（个人独资企业）的出资人麦某转向其签发了支票，但支票均未被兑现。迦德公司以其未收到货款为由在香港法院对麦某转提起诉讼，但因香港法院委托内地法院送达司法文书未成功，迦德公司遂向内地法院提起诉讼，请求诚禧贸易部支付货款及逾期付款利息，并请求麦某转承担连带责任。</w:t>
      </w:r>
    </w:p>
    <w:p>
      <w:pPr>
        <w:widowControl/>
        <w:spacing w:line="360" w:lineRule="auto"/>
        <w:ind w:firstLine="640" w:firstLineChars="200"/>
        <w:rPr>
          <w:rFonts w:eastAsia="黑体"/>
          <w:sz w:val="32"/>
          <w:szCs w:val="32"/>
        </w:rPr>
      </w:pPr>
      <w:r>
        <w:rPr>
          <w:rFonts w:eastAsia="黑体"/>
          <w:sz w:val="32"/>
          <w:szCs w:val="32"/>
        </w:rPr>
        <w:t>裁判结果</w:t>
      </w:r>
    </w:p>
    <w:p>
      <w:pPr>
        <w:spacing w:line="360" w:lineRule="auto"/>
        <w:ind w:firstLine="640" w:firstLineChars="200"/>
        <w:rPr>
          <w:rFonts w:eastAsia="仿宋_GB2312"/>
          <w:sz w:val="32"/>
          <w:szCs w:val="32"/>
        </w:rPr>
      </w:pPr>
      <w:r>
        <w:rPr>
          <w:rFonts w:hint="eastAsia" w:eastAsia="仿宋_GB2312"/>
          <w:sz w:val="32"/>
          <w:szCs w:val="32"/>
        </w:rPr>
        <w:t>佛山市顺德区人民法院一审判决认为，香港法院委托内地法院送达的法律文书并未实际送达诚禧贸易部和麦某转，该起诉不构成法律规定的诉讼时效中断的事由。一审法院判决驳回迦德公司的全部诉讼请求。迦德公司不服该判决，提起上诉。佛山市中级人民法院二审认为，迦德公司就本案所涉债权已在香港法院提起诉讼。虽然香港法院的司法文书送达结果为“不成功”，但迦德公司并未怠于行使权利，其在香港法院提起诉讼，构成诉讼时效中断，且直至2015年12月9日，该诉讼程序仍在持续，故本案诉讼时效可自2015年12月10日开始重新起算。至《中华人民共和国民法总则》施行之日即2017年10月1日，本案诉讼时效尚未超过《中华人民共和国民法通则》规定的两年诉讼时效。根据《最高人民法院关于适用</w:t>
      </w:r>
      <w:r>
        <w:rPr>
          <w:rFonts w:hint="eastAsia" w:ascii="宋体" w:hAnsi="宋体" w:cs="宋体"/>
          <w:sz w:val="32"/>
          <w:szCs w:val="32"/>
        </w:rPr>
        <w:t>〈</w:t>
      </w:r>
      <w:r>
        <w:rPr>
          <w:rFonts w:hint="eastAsia" w:eastAsia="仿宋_GB2312"/>
          <w:sz w:val="32"/>
          <w:szCs w:val="32"/>
        </w:rPr>
        <w:t>中华人民共和国民法总则</w:t>
      </w:r>
      <w:r>
        <w:rPr>
          <w:rFonts w:hint="eastAsia" w:ascii="方正书宋_GBK" w:hAnsi="方正书宋_GBK" w:eastAsia="方正书宋_GBK" w:cs="方正书宋_GBK"/>
          <w:sz w:val="32"/>
          <w:szCs w:val="32"/>
        </w:rPr>
        <w:t>〉</w:t>
      </w:r>
      <w:r>
        <w:rPr>
          <w:rFonts w:hint="eastAsia" w:eastAsia="仿宋_GB2312"/>
          <w:sz w:val="32"/>
          <w:szCs w:val="32"/>
        </w:rPr>
        <w:t>诉讼时效制度若干问题的解释》第二条规定，本案诉讼时效至少应计算至2018年12月10日届满，迦德公司在2018年9月18日向一审法院提起诉讼，并未超过诉讼时效。故撤销原判，判决诚禧贸易部、麦某转支付货款。</w:t>
      </w:r>
    </w:p>
    <w:p>
      <w:pPr>
        <w:widowControl/>
        <w:spacing w:line="360" w:lineRule="auto"/>
        <w:ind w:firstLine="640" w:firstLineChars="200"/>
        <w:rPr>
          <w:rFonts w:eastAsia="黑体"/>
          <w:sz w:val="32"/>
          <w:szCs w:val="32"/>
        </w:rPr>
      </w:pPr>
      <w:r>
        <w:rPr>
          <w:rFonts w:hint="eastAsia" w:eastAsia="黑体"/>
          <w:sz w:val="32"/>
          <w:szCs w:val="32"/>
        </w:rPr>
        <w:t>典型意义</w:t>
      </w:r>
    </w:p>
    <w:p>
      <w:pPr>
        <w:adjustRightInd/>
        <w:spacing w:line="360" w:lineRule="auto"/>
        <w:ind w:firstLine="640" w:firstLineChars="200"/>
        <w:rPr>
          <w:rFonts w:ascii="仿宋_GB2312" w:hAnsi="仿宋" w:eastAsia="仿宋_GB2312" w:cs="宋体"/>
          <w:kern w:val="0"/>
          <w:sz w:val="32"/>
          <w:szCs w:val="32"/>
        </w:rPr>
      </w:pPr>
      <w:r>
        <w:rPr>
          <w:rFonts w:hint="eastAsia" w:eastAsia="仿宋_GB2312"/>
          <w:sz w:val="32"/>
          <w:szCs w:val="32"/>
        </w:rPr>
        <w:t>人民法院依法认定当事人向香港法院起诉构成诉讼时效的中断事由，促进内地与香港诉讼程序的衔接，保护香港债权人合法权益。</w:t>
      </w:r>
    </w:p>
    <w:p>
      <w:pPr>
        <w:widowControl/>
        <w:adjustRightInd/>
        <w:jc w:val="left"/>
        <w:rPr>
          <w:rFonts w:eastAsia="仿宋_GB2312"/>
          <w:sz w:val="32"/>
          <w:szCs w:val="32"/>
        </w:rPr>
      </w:pPr>
    </w:p>
    <w:p>
      <w:pPr>
        <w:widowControl/>
        <w:adjustRightInd/>
        <w:jc w:val="left"/>
        <w:rPr>
          <w:rFonts w:ascii="黑体" w:hAnsi="黑体" w:eastAsia="黑体"/>
          <w:sz w:val="32"/>
          <w:szCs w:val="32"/>
        </w:rPr>
      </w:pPr>
      <w:r>
        <w:rPr>
          <w:rFonts w:eastAsia="仿宋_GB2312"/>
          <w:sz w:val="32"/>
          <w:szCs w:val="32"/>
        </w:rPr>
        <w:br w:type="page"/>
      </w:r>
    </w:p>
    <w:p>
      <w:pPr>
        <w:widowControl/>
        <w:adjustRightInd/>
        <w:spacing w:line="360" w:lineRule="auto"/>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10</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24" w:name="_Toc101189336"/>
      <w:r>
        <w:rPr>
          <w:rFonts w:hint="eastAsia" w:ascii="方正小标宋简体" w:eastAsia="方正小标宋简体"/>
          <w:kern w:val="44"/>
          <w:sz w:val="36"/>
          <w:szCs w:val="36"/>
        </w:rPr>
        <w:t>徐某道诉梁某威居住权纠纷案</w:t>
      </w:r>
      <w:bookmarkEnd w:id="24"/>
    </w:p>
    <w:p>
      <w:pPr>
        <w:keepNext/>
        <w:keepLines/>
        <w:widowControl/>
        <w:snapToGrid w:val="0"/>
        <w:spacing w:line="360" w:lineRule="auto"/>
        <w:jc w:val="center"/>
        <w:outlineLvl w:val="0"/>
        <w:rPr>
          <w:rFonts w:ascii="楷体_GB2312" w:eastAsia="楷体_GB2312"/>
          <w:kern w:val="44"/>
          <w:sz w:val="32"/>
          <w:szCs w:val="32"/>
        </w:rPr>
      </w:pPr>
      <w:bookmarkStart w:id="25" w:name="_Toc101189337"/>
      <w:r>
        <w:rPr>
          <w:rFonts w:hint="eastAsia" w:ascii="楷体_GB2312" w:eastAsia="楷体_GB2312"/>
          <w:kern w:val="44"/>
          <w:sz w:val="32"/>
          <w:szCs w:val="32"/>
        </w:rPr>
        <w:t>——适用民法典新规定保护当事人的居住权</w:t>
      </w:r>
      <w:bookmarkEnd w:id="25"/>
    </w:p>
    <w:p>
      <w:pPr>
        <w:widowControl/>
        <w:snapToGrid w:val="0"/>
        <w:spacing w:line="360" w:lineRule="auto"/>
        <w:ind w:right="40" w:firstLine="640" w:firstLineChars="200"/>
        <w:rPr>
          <w:rFonts w:eastAsia="仿宋_GB2312"/>
          <w:snapToGrid w:val="0"/>
          <w:kern w:val="0"/>
          <w:sz w:val="32"/>
          <w:szCs w:val="32"/>
        </w:rPr>
      </w:pPr>
    </w:p>
    <w:p>
      <w:pPr>
        <w:widowControl/>
        <w:snapToGrid w:val="0"/>
        <w:spacing w:line="360" w:lineRule="auto"/>
        <w:ind w:firstLine="640" w:firstLineChars="200"/>
        <w:rPr>
          <w:rFonts w:eastAsia="黑体"/>
          <w:sz w:val="32"/>
          <w:szCs w:val="32"/>
        </w:rPr>
      </w:pPr>
      <w:r>
        <w:rPr>
          <w:rFonts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台湾居民徐某道与澳门居民梁某威系继母子关系。梁某威的父亲于2007年购入中山市一处商品房。2011年，梁某威父亲与徐某道在香港登记结婚。2014年，梁某威父亲去世。同年，徐某道与梁某威签订协议约定：在未取得徐某道同意的情况下，梁某威不得出售涉案房屋，徐某道可在该房屋内居住至百年归老。后徐某道一直居住在该房屋内。2019年，该房屋变更登记至梁某威名下，但梁某威不配合办理居住权登记。2021年2月，徐某道以居住权没有保障为由提起诉讼，请求判决确认徐某道享有该房屋的居住权。</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 xml:space="preserve">中山市第一人民法院认为，徐某道与梁某威系继母子关系，日常交往较少。在梁某威父亲离世后，双方虽然就该房屋的居住权签订了协议，但双方在实际履行过程中多次产生争执。根据《中华人民共和国民法典》第十四章关于居住权的规定，为了满足当事人稳定生活居住的需求，法院进行了大量的调解工作，双方最终达成调解协议。梁某威同意继续履行居住权协议，双方对日后梁某威察看房屋的时间、方式等具体问题进行细化，梁某威同意协助徐某道到登记机关办理居住权登记。 </w:t>
      </w:r>
    </w:p>
    <w:p>
      <w:pPr>
        <w:widowControl/>
        <w:snapToGrid w:val="0"/>
        <w:spacing w:line="360" w:lineRule="auto"/>
        <w:ind w:firstLine="640" w:firstLineChars="200"/>
        <w:rPr>
          <w:rFonts w:eastAsia="黑体"/>
          <w:sz w:val="32"/>
          <w:szCs w:val="32"/>
        </w:rPr>
      </w:pPr>
      <w:r>
        <w:rPr>
          <w:rFonts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人民法院充分发挥《中华人民共和国民法典》居住权制度的功能，促成澳门居民与其亲属就内地房屋居住权达成调解，并办理居住权登记，确保当事人“住有所居”。</w:t>
      </w:r>
    </w:p>
    <w:p>
      <w:pPr>
        <w:widowControl/>
        <w:adjustRightInd/>
        <w:jc w:val="left"/>
        <w:rPr>
          <w:rFonts w:ascii="黑体" w:hAnsi="黑体" w:eastAsia="黑体"/>
          <w:sz w:val="32"/>
          <w:szCs w:val="32"/>
        </w:rPr>
      </w:pPr>
      <w:r>
        <w:rPr>
          <w:rFonts w:ascii="黑体" w:hAnsi="黑体" w:eastAsia="黑体"/>
          <w:sz w:val="32"/>
          <w:szCs w:val="32"/>
        </w:rPr>
        <w:br w:type="page"/>
      </w:r>
      <w:r>
        <w:rPr>
          <w:rFonts w:ascii="黑体" w:hAnsi="黑体" w:eastAsia="黑体"/>
          <w:sz w:val="32"/>
          <w:szCs w:val="32"/>
        </w:rPr>
        <w:t>案例</w:t>
      </w:r>
      <w:r>
        <w:rPr>
          <w:rFonts w:hint="eastAsia" w:ascii="黑体" w:hAnsi="黑体" w:eastAsia="黑体"/>
          <w:sz w:val="32"/>
          <w:szCs w:val="32"/>
        </w:rPr>
        <w:t>11</w:t>
      </w:r>
    </w:p>
    <w:p>
      <w:pPr>
        <w:widowControl/>
        <w:snapToGrid w:val="0"/>
        <w:spacing w:line="360" w:lineRule="auto"/>
        <w:rPr>
          <w:rFonts w:ascii="宋体" w:hAnsi="宋体"/>
          <w:sz w:val="32"/>
          <w:szCs w:val="32"/>
        </w:rPr>
      </w:pPr>
    </w:p>
    <w:p>
      <w:pPr>
        <w:pStyle w:val="2"/>
        <w:widowControl/>
        <w:spacing w:afterLines="0"/>
        <w:rPr>
          <w:rFonts w:ascii="方正小标宋简体" w:hAnsi="Times New Roman" w:eastAsia="方正小标宋简体"/>
          <w:szCs w:val="36"/>
        </w:rPr>
      </w:pPr>
      <w:bookmarkStart w:id="26" w:name="_Toc81205634"/>
      <w:r>
        <w:rPr>
          <w:rFonts w:hint="eastAsia" w:ascii="方正小标宋简体" w:hAnsi="Times New Roman" w:eastAsia="方正小标宋简体"/>
          <w:szCs w:val="36"/>
        </w:rPr>
        <w:t>梁某培诉协城公司商品房预售合同纠纷案</w:t>
      </w:r>
      <w:bookmarkEnd w:id="26"/>
    </w:p>
    <w:p>
      <w:pPr>
        <w:pStyle w:val="2"/>
        <w:widowControl/>
        <w:spacing w:afterLines="0"/>
        <w:rPr>
          <w:rFonts w:ascii="楷体_GB2312" w:hAnsi="Times New Roman" w:eastAsia="楷体_GB2312"/>
          <w:sz w:val="32"/>
          <w:szCs w:val="32"/>
        </w:rPr>
      </w:pPr>
      <w:bookmarkStart w:id="27" w:name="_Toc81205635"/>
      <w:r>
        <w:rPr>
          <w:rFonts w:hint="eastAsia" w:ascii="楷体_GB2312" w:hAnsi="Times New Roman" w:eastAsia="楷体_GB2312"/>
          <w:sz w:val="32"/>
          <w:szCs w:val="32"/>
        </w:rPr>
        <w:t>——依法判决履行“无理由退房”承诺，维护诚实信用</w:t>
      </w:r>
      <w:bookmarkEnd w:id="27"/>
    </w:p>
    <w:p>
      <w:pPr>
        <w:widowControl/>
        <w:snapToGrid w:val="0"/>
        <w:spacing w:line="360" w:lineRule="auto"/>
        <w:ind w:firstLine="640" w:firstLineChars="200"/>
        <w:rPr>
          <w:rFonts w:eastAsia="黑体"/>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香港居民梁某培与台山协城房地产开发有限公司签订《商品房买卖合同（预售）》，约定梁某培以分期付款方式向协城公司购买某商品房。2019年5月22日，双方签订《无理由退房协议书》，约定如梁某培按之前所签合同履行义务，且无违约行为，并支付总房款30%及以上，便可享有无理由退房的权利。合同签订后，梁某培依时支付前三期房款。2020年2月3日，梁某培向协城公司销售员申请退房，销售员称若退房则第四期房款无需再交，但协城公司后又要求支付第四期房款才可以退房。梁某培于2020年3月5日支付第四期房款。协城公司以梁某培前三期购房款占比为29.99%（不足30%）且逾期支付第四期购房款为由，认为梁某培不符合退房条件。梁某培提起诉讼，请求解除购房合同，并由协城公司向其返还购房款。</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台山市人民法院一审认为，梁某培未在合同约定的2020年2月4日前交纳第四期购房款，系因协城公司销售员所作的“若退房则无需继续支付”的意思表示，梁某培有理由相信销售员有权代表公司，且梁某培前三期交付的房款已达29.99%，故梁某培的行为不构成违约。梁某培主张按《无理由退房协议书》的约定解除购房合同并返还购房款的理由成立，故判决支持梁某培的诉讼请求。当事人未提起上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人民法院根据双方履行合同的实际情况，结合诚实信用原则，判决</w:t>
      </w:r>
      <w:r>
        <w:rPr>
          <w:rFonts w:hint="eastAsia" w:eastAsia="仿宋_GB2312"/>
          <w:b/>
          <w:color w:val="FF0000"/>
          <w:sz w:val="32"/>
          <w:szCs w:val="32"/>
        </w:rPr>
        <w:t>开发商</w:t>
      </w:r>
      <w:r>
        <w:rPr>
          <w:rFonts w:hint="eastAsia" w:eastAsia="仿宋_GB2312"/>
          <w:sz w:val="32"/>
          <w:szCs w:val="32"/>
        </w:rPr>
        <w:t>履行“无理由退房”承诺，维护湾区房地产交易秩序。</w:t>
      </w:r>
    </w:p>
    <w:p>
      <w:pPr>
        <w:widowControl/>
        <w:adjustRightInd/>
        <w:jc w:val="left"/>
        <w:rPr>
          <w:rFonts w:ascii="黑体" w:hAnsi="黑体" w:eastAsia="黑体"/>
          <w:sz w:val="32"/>
          <w:szCs w:val="32"/>
        </w:rPr>
      </w:pPr>
      <w:r>
        <w:rPr>
          <w:rFonts w:ascii="黑体" w:hAnsi="黑体" w:eastAsia="黑体"/>
          <w:sz w:val="32"/>
          <w:szCs w:val="32"/>
        </w:rPr>
        <w:br w:type="page"/>
      </w:r>
    </w:p>
    <w:p>
      <w:pPr>
        <w:widowControl/>
        <w:adjustRightInd/>
        <w:jc w:val="left"/>
        <w:rPr>
          <w:rFonts w:ascii="黑体" w:hAnsi="黑体" w:eastAsia="黑体"/>
          <w:sz w:val="32"/>
          <w:szCs w:val="32"/>
        </w:rPr>
      </w:pPr>
      <w:r>
        <w:rPr>
          <w:rFonts w:ascii="黑体" w:hAnsi="黑体" w:eastAsia="黑体"/>
          <w:sz w:val="32"/>
          <w:szCs w:val="32"/>
        </w:rPr>
        <w:t>案例1</w:t>
      </w:r>
      <w:r>
        <w:rPr>
          <w:rFonts w:hint="eastAsia" w:ascii="黑体" w:hAnsi="黑体" w:eastAsia="黑体"/>
          <w:sz w:val="32"/>
          <w:szCs w:val="32"/>
        </w:rPr>
        <w:t>2</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28" w:name="_Toc101189364"/>
      <w:r>
        <w:rPr>
          <w:rFonts w:hint="eastAsia" w:ascii="方正小标宋简体" w:eastAsia="方正小标宋简体"/>
          <w:kern w:val="44"/>
          <w:sz w:val="36"/>
          <w:szCs w:val="36"/>
        </w:rPr>
        <w:t>赵某婷诉周某娣确认合同无效纠纷</w:t>
      </w:r>
      <w:bookmarkEnd w:id="28"/>
    </w:p>
    <w:p>
      <w:pPr>
        <w:keepNext/>
        <w:keepLines/>
        <w:widowControl/>
        <w:snapToGrid w:val="0"/>
        <w:spacing w:line="360" w:lineRule="auto"/>
        <w:jc w:val="center"/>
        <w:outlineLvl w:val="0"/>
        <w:rPr>
          <w:rFonts w:ascii="楷体_GB2312" w:eastAsia="楷体_GB2312"/>
          <w:kern w:val="44"/>
          <w:sz w:val="32"/>
          <w:szCs w:val="32"/>
        </w:rPr>
      </w:pPr>
      <w:bookmarkStart w:id="29" w:name="_Toc101189365"/>
      <w:r>
        <w:rPr>
          <w:rFonts w:hint="eastAsia" w:ascii="楷体_GB2312" w:eastAsia="楷体_GB2312"/>
          <w:kern w:val="44"/>
          <w:sz w:val="32"/>
          <w:szCs w:val="32"/>
        </w:rPr>
        <w:t>——准确认定涉港婚姻关系变化对夫妻财产关系的影响，</w:t>
      </w:r>
      <w:bookmarkEnd w:id="29"/>
    </w:p>
    <w:p>
      <w:pPr>
        <w:keepNext/>
        <w:keepLines/>
        <w:widowControl/>
        <w:snapToGrid w:val="0"/>
        <w:spacing w:line="360" w:lineRule="auto"/>
        <w:jc w:val="center"/>
        <w:outlineLvl w:val="0"/>
        <w:rPr>
          <w:rFonts w:ascii="楷体_GB2312" w:eastAsia="楷体_GB2312"/>
          <w:kern w:val="44"/>
          <w:sz w:val="32"/>
          <w:szCs w:val="32"/>
        </w:rPr>
      </w:pPr>
      <w:bookmarkStart w:id="30" w:name="_Toc101189366"/>
      <w:r>
        <w:rPr>
          <w:rFonts w:hint="eastAsia" w:ascii="楷体_GB2312" w:eastAsia="楷体_GB2312"/>
          <w:kern w:val="44"/>
          <w:sz w:val="32"/>
          <w:szCs w:val="32"/>
        </w:rPr>
        <w:t>保障当事人合法权益</w:t>
      </w:r>
      <w:bookmarkEnd w:id="30"/>
    </w:p>
    <w:p>
      <w:pPr>
        <w:widowControl/>
        <w:snapToGrid w:val="0"/>
        <w:spacing w:line="288" w:lineRule="auto"/>
        <w:ind w:firstLine="600" w:firstLineChars="200"/>
        <w:rPr>
          <w:rFonts w:eastAsia="黑体"/>
          <w:sz w:val="30"/>
          <w:szCs w:val="30"/>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hint="eastAsia" w:eastAsia="仿宋_GB2312"/>
          <w:sz w:val="32"/>
          <w:szCs w:val="32"/>
        </w:rPr>
      </w:pPr>
      <w:r>
        <w:rPr>
          <w:rFonts w:hint="eastAsia" w:eastAsia="仿宋_GB2312"/>
          <w:sz w:val="32"/>
          <w:szCs w:val="32"/>
        </w:rPr>
        <w:t>赵某婷与林某良于</w:t>
      </w:r>
      <w:r>
        <w:rPr>
          <w:rFonts w:eastAsia="仿宋_GB2312"/>
          <w:sz w:val="32"/>
          <w:szCs w:val="32"/>
        </w:rPr>
        <w:t>1992</w:t>
      </w:r>
      <w:r>
        <w:rPr>
          <w:rFonts w:hint="eastAsia" w:eastAsia="仿宋_GB2312"/>
          <w:sz w:val="32"/>
          <w:szCs w:val="32"/>
        </w:rPr>
        <w:t>年</w:t>
      </w:r>
      <w:r>
        <w:rPr>
          <w:rFonts w:eastAsia="仿宋_GB2312"/>
          <w:sz w:val="32"/>
          <w:szCs w:val="32"/>
        </w:rPr>
        <w:t>10</w:t>
      </w:r>
      <w:r>
        <w:rPr>
          <w:rFonts w:hint="eastAsia" w:eastAsia="仿宋_GB2312"/>
          <w:sz w:val="32"/>
          <w:szCs w:val="32"/>
        </w:rPr>
        <w:t>月</w:t>
      </w:r>
      <w:r>
        <w:rPr>
          <w:rFonts w:eastAsia="仿宋_GB2312"/>
          <w:sz w:val="32"/>
          <w:szCs w:val="32"/>
        </w:rPr>
        <w:t>24</w:t>
      </w:r>
      <w:r>
        <w:rPr>
          <w:rFonts w:hint="eastAsia" w:eastAsia="仿宋_GB2312"/>
          <w:sz w:val="32"/>
          <w:szCs w:val="32"/>
        </w:rPr>
        <w:t>日在广东省四会市登记结婚。</w:t>
      </w:r>
      <w:r>
        <w:rPr>
          <w:rFonts w:eastAsia="仿宋_GB2312"/>
          <w:sz w:val="32"/>
          <w:szCs w:val="32"/>
        </w:rPr>
        <w:t>1995</w:t>
      </w:r>
      <w:r>
        <w:rPr>
          <w:rFonts w:hint="eastAsia" w:eastAsia="仿宋_GB2312"/>
          <w:sz w:val="32"/>
          <w:szCs w:val="32"/>
        </w:rPr>
        <w:t>年</w:t>
      </w:r>
      <w:r>
        <w:rPr>
          <w:rFonts w:eastAsia="仿宋_GB2312"/>
          <w:sz w:val="32"/>
          <w:szCs w:val="32"/>
        </w:rPr>
        <w:t>2</w:t>
      </w:r>
      <w:r>
        <w:rPr>
          <w:rFonts w:hint="eastAsia" w:eastAsia="仿宋_GB2312"/>
          <w:sz w:val="32"/>
          <w:szCs w:val="32"/>
        </w:rPr>
        <w:t>月</w:t>
      </w:r>
      <w:r>
        <w:rPr>
          <w:rFonts w:eastAsia="仿宋_GB2312"/>
          <w:sz w:val="32"/>
          <w:szCs w:val="32"/>
        </w:rPr>
        <w:t>29</w:t>
      </w:r>
      <w:r>
        <w:rPr>
          <w:rFonts w:hint="eastAsia" w:eastAsia="仿宋_GB2312"/>
          <w:sz w:val="32"/>
          <w:szCs w:val="32"/>
        </w:rPr>
        <w:t>日，林某良向四会市粮食局出借</w:t>
      </w:r>
      <w:r>
        <w:rPr>
          <w:rFonts w:eastAsia="仿宋_GB2312"/>
          <w:sz w:val="32"/>
          <w:szCs w:val="32"/>
        </w:rPr>
        <w:t>27</w:t>
      </w:r>
      <w:r>
        <w:rPr>
          <w:rFonts w:hint="eastAsia" w:eastAsia="仿宋_GB2312"/>
          <w:sz w:val="32"/>
          <w:szCs w:val="32"/>
        </w:rPr>
        <w:t>万元。</w:t>
      </w:r>
      <w:r>
        <w:rPr>
          <w:rFonts w:eastAsia="仿宋_GB2312"/>
          <w:sz w:val="32"/>
          <w:szCs w:val="32"/>
        </w:rPr>
        <w:t>1995</w:t>
      </w:r>
      <w:r>
        <w:rPr>
          <w:rFonts w:hint="eastAsia" w:eastAsia="仿宋_GB2312"/>
          <w:sz w:val="32"/>
          <w:szCs w:val="32"/>
        </w:rPr>
        <w:t>年</w:t>
      </w:r>
      <w:r>
        <w:rPr>
          <w:rFonts w:eastAsia="仿宋_GB2312"/>
          <w:sz w:val="32"/>
          <w:szCs w:val="32"/>
        </w:rPr>
        <w:t>6</w:t>
      </w:r>
      <w:r>
        <w:rPr>
          <w:rFonts w:hint="eastAsia" w:eastAsia="仿宋_GB2312"/>
          <w:sz w:val="32"/>
          <w:szCs w:val="32"/>
        </w:rPr>
        <w:t>月，四会市粮食局与林某良签订《借款合同》，约定五年内还清林某良的借款本息，否则将涉案房屋抵偿林某良。1998年四会市粮食局将案涉房屋交付林某良抵偿债务。林某良于</w:t>
      </w:r>
      <w:r>
        <w:rPr>
          <w:rFonts w:eastAsia="仿宋_GB2312"/>
          <w:sz w:val="32"/>
          <w:szCs w:val="32"/>
        </w:rPr>
        <w:t>2000</w:t>
      </w:r>
      <w:r>
        <w:rPr>
          <w:rFonts w:hint="eastAsia" w:eastAsia="仿宋_GB2312"/>
          <w:sz w:val="32"/>
          <w:szCs w:val="32"/>
        </w:rPr>
        <w:t>年取得香港永久性居民身份。</w:t>
      </w:r>
      <w:r>
        <w:rPr>
          <w:rFonts w:eastAsia="仿宋_GB2312"/>
          <w:sz w:val="32"/>
          <w:szCs w:val="32"/>
        </w:rPr>
        <w:t>2000</w:t>
      </w:r>
      <w:r>
        <w:rPr>
          <w:rFonts w:hint="eastAsia" w:eastAsia="仿宋_GB2312"/>
          <w:sz w:val="32"/>
          <w:szCs w:val="32"/>
        </w:rPr>
        <w:t>年</w:t>
      </w:r>
      <w:r>
        <w:rPr>
          <w:rFonts w:eastAsia="仿宋_GB2312"/>
          <w:sz w:val="32"/>
          <w:szCs w:val="32"/>
        </w:rPr>
        <w:t>8</w:t>
      </w:r>
      <w:r>
        <w:rPr>
          <w:rFonts w:hint="eastAsia" w:eastAsia="仿宋_GB2312"/>
          <w:sz w:val="32"/>
          <w:szCs w:val="32"/>
        </w:rPr>
        <w:t>月，林某良出具《协议书》，将涉案房屋出售给周某娣。</w:t>
      </w:r>
      <w:r>
        <w:rPr>
          <w:rFonts w:eastAsia="仿宋_GB2312"/>
          <w:sz w:val="32"/>
          <w:szCs w:val="32"/>
        </w:rPr>
        <w:t>2002</w:t>
      </w:r>
      <w:r>
        <w:rPr>
          <w:rFonts w:hint="eastAsia" w:eastAsia="仿宋_GB2312"/>
          <w:sz w:val="32"/>
          <w:szCs w:val="32"/>
        </w:rPr>
        <w:t>年</w:t>
      </w:r>
      <w:r>
        <w:rPr>
          <w:rFonts w:eastAsia="仿宋_GB2312"/>
          <w:sz w:val="32"/>
          <w:szCs w:val="32"/>
        </w:rPr>
        <w:t>9</w:t>
      </w:r>
      <w:r>
        <w:rPr>
          <w:rFonts w:hint="eastAsia" w:eastAsia="仿宋_GB2312"/>
          <w:sz w:val="32"/>
          <w:szCs w:val="32"/>
        </w:rPr>
        <w:t>月</w:t>
      </w:r>
      <w:r>
        <w:rPr>
          <w:rFonts w:eastAsia="仿宋_GB2312"/>
          <w:sz w:val="32"/>
          <w:szCs w:val="32"/>
        </w:rPr>
        <w:t>5</w:t>
      </w:r>
      <w:r>
        <w:rPr>
          <w:rFonts w:hint="eastAsia" w:eastAsia="仿宋_GB2312"/>
          <w:sz w:val="32"/>
          <w:szCs w:val="32"/>
        </w:rPr>
        <w:t>日，赵某婷与林某良在四会市民政局协议离婚，双方没有对涉案不动产进行分割。</w:t>
      </w:r>
      <w:r>
        <w:rPr>
          <w:rFonts w:eastAsia="仿宋_GB2312"/>
          <w:sz w:val="32"/>
          <w:szCs w:val="32"/>
        </w:rPr>
        <w:t>2003</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27</w:t>
      </w:r>
      <w:r>
        <w:rPr>
          <w:rFonts w:hint="eastAsia" w:eastAsia="仿宋_GB2312"/>
          <w:sz w:val="32"/>
          <w:szCs w:val="32"/>
        </w:rPr>
        <w:t>日，赵某婷与林某良在香港登记复婚。</w:t>
      </w:r>
      <w:r>
        <w:rPr>
          <w:rFonts w:eastAsia="仿宋_GB2312"/>
          <w:sz w:val="32"/>
          <w:szCs w:val="32"/>
        </w:rPr>
        <w:t>2007</w:t>
      </w:r>
      <w:r>
        <w:rPr>
          <w:rFonts w:hint="eastAsia" w:eastAsia="仿宋_GB2312"/>
          <w:sz w:val="32"/>
          <w:szCs w:val="32"/>
        </w:rPr>
        <w:t>年赵某婷取得香港永久性居民身份。</w:t>
      </w:r>
      <w:r>
        <w:rPr>
          <w:rFonts w:eastAsia="仿宋_GB2312"/>
          <w:sz w:val="32"/>
          <w:szCs w:val="32"/>
        </w:rPr>
        <w:t>2010</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11</w:t>
      </w:r>
      <w:r>
        <w:rPr>
          <w:rFonts w:hint="eastAsia" w:eastAsia="仿宋_GB2312"/>
          <w:sz w:val="32"/>
          <w:szCs w:val="32"/>
        </w:rPr>
        <w:t>日，涉案房屋过户登记在林某良名下，并于</w:t>
      </w:r>
      <w:r>
        <w:rPr>
          <w:rFonts w:eastAsia="仿宋_GB2312"/>
          <w:sz w:val="32"/>
          <w:szCs w:val="32"/>
        </w:rPr>
        <w:t>6</w:t>
      </w:r>
      <w:r>
        <w:rPr>
          <w:rFonts w:hint="eastAsia" w:eastAsia="仿宋_GB2312"/>
          <w:sz w:val="32"/>
          <w:szCs w:val="32"/>
        </w:rPr>
        <w:t>月</w:t>
      </w:r>
      <w:r>
        <w:rPr>
          <w:rFonts w:eastAsia="仿宋_GB2312"/>
          <w:sz w:val="32"/>
          <w:szCs w:val="32"/>
        </w:rPr>
        <w:t>2</w:t>
      </w:r>
      <w:r>
        <w:rPr>
          <w:rFonts w:hint="eastAsia" w:eastAsia="仿宋_GB2312"/>
          <w:sz w:val="32"/>
          <w:szCs w:val="32"/>
        </w:rPr>
        <w:t>日过户登记在周某娣名下。林某良于</w:t>
      </w:r>
      <w:r>
        <w:rPr>
          <w:rFonts w:eastAsia="仿宋_GB2312"/>
          <w:sz w:val="32"/>
          <w:szCs w:val="32"/>
        </w:rPr>
        <w:t>2016</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22</w:t>
      </w:r>
      <w:r>
        <w:rPr>
          <w:rFonts w:hint="eastAsia" w:eastAsia="仿宋_GB2312"/>
          <w:sz w:val="32"/>
          <w:szCs w:val="32"/>
        </w:rPr>
        <w:t>日去世。赵某婷提起本案诉讼，诉请确认周某娣与林某良之间的涉案房屋买卖合同无效。</w:t>
      </w:r>
    </w:p>
    <w:p>
      <w:pPr>
        <w:widowControl/>
        <w:snapToGrid w:val="0"/>
        <w:spacing w:line="360" w:lineRule="auto"/>
        <w:ind w:firstLine="640" w:firstLineChars="200"/>
        <w:rPr>
          <w:rFonts w:hint="eastAsia" w:eastAsia="仿宋_GB2312"/>
          <w:sz w:val="32"/>
          <w:szCs w:val="32"/>
        </w:rPr>
      </w:pPr>
    </w:p>
    <w:p>
      <w:pPr>
        <w:widowControl/>
        <w:snapToGrid w:val="0"/>
        <w:spacing w:line="360" w:lineRule="auto"/>
        <w:ind w:firstLine="420" w:firstLineChars="200"/>
        <w:rPr>
          <w:szCs w:val="32"/>
        </w:rPr>
      </w:pPr>
    </w:p>
    <w:p>
      <w:pPr>
        <w:widowControl/>
        <w:snapToGrid w:val="0"/>
        <w:spacing w:line="360" w:lineRule="auto"/>
        <w:ind w:firstLine="640" w:firstLineChars="200"/>
        <w:rPr>
          <w:rFonts w:eastAsia="黑体"/>
          <w:sz w:val="32"/>
          <w:szCs w:val="32"/>
        </w:rPr>
      </w:pPr>
      <w:r>
        <w:rPr>
          <w:rFonts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肇庆市中级人民法院一审判决确认周某娣与林某良之间关于涉案房屋买卖合同无效。广东省高级人民法院二审判决认为，林某良以物抵债取得涉案房屋所有权的事实发生于林某良与赵某婷第一次婚姻关系存续期间，且双方当时的共同经常居住地为内地，故涉案房屋是否属于夫妻共同财产问题应适用内地法律。根据内地法律，该房屋为夫妻共同财产。林某良与赵某婷离婚时没有对涉案财产进行分割，涉案房屋仍属于夫妻共同财产。林某良在未经赵某婷同意的情况下，将房屋转让给周某娣。周某娣对林某良与赵某婷的夫妻关系及涉案房屋真实权属知情，未支付合理对价，可认定其与林某良恶意串通，协助林某良恶意转移夫妻共同财产，故涉案房产买卖合同应认定无效。二审判决驳回上诉，维持原判。</w:t>
      </w:r>
    </w:p>
    <w:p>
      <w:pPr>
        <w:widowControl/>
        <w:snapToGrid w:val="0"/>
        <w:spacing w:line="360" w:lineRule="auto"/>
        <w:ind w:firstLine="640" w:firstLineChars="200"/>
        <w:rPr>
          <w:rFonts w:eastAsia="黑体"/>
          <w:sz w:val="32"/>
          <w:szCs w:val="32"/>
        </w:rPr>
      </w:pPr>
      <w:r>
        <w:rPr>
          <w:rFonts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人民法院依据婚姻关系成立时双方共同经常居所地法律确定夫妻财产关系应当适用的法律，依法认定夫妻离婚时未分割的财产仍属于夫妻共同财产，维护当事人合法财产权益。</w:t>
      </w:r>
    </w:p>
    <w:p>
      <w:pPr>
        <w:widowControl/>
        <w:adjustRightInd/>
        <w:jc w:val="left"/>
        <w:rPr>
          <w:rFonts w:ascii="黑体" w:hAnsi="黑体" w:eastAsia="黑体"/>
          <w:sz w:val="32"/>
          <w:szCs w:val="32"/>
        </w:rPr>
      </w:pPr>
      <w:r>
        <w:rPr>
          <w:rFonts w:ascii="黑体" w:hAnsi="黑体" w:eastAsia="黑体"/>
          <w:sz w:val="32"/>
          <w:szCs w:val="32"/>
        </w:rPr>
        <w:br w:type="page"/>
      </w:r>
    </w:p>
    <w:p>
      <w:pPr>
        <w:widowControl/>
        <w:adjustRightInd/>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13</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31" w:name="_Toc101189348"/>
      <w:r>
        <w:rPr>
          <w:rFonts w:hint="eastAsia" w:ascii="方正小标宋简体" w:eastAsia="方正小标宋简体"/>
          <w:kern w:val="44"/>
          <w:sz w:val="36"/>
          <w:szCs w:val="36"/>
        </w:rPr>
        <w:t>霍尼韦尔公司诉林某鹏、林某权、林某畅</w:t>
      </w:r>
      <w:bookmarkEnd w:id="31"/>
    </w:p>
    <w:p>
      <w:pPr>
        <w:keepNext/>
        <w:keepLines/>
        <w:widowControl/>
        <w:snapToGrid w:val="0"/>
        <w:spacing w:line="360" w:lineRule="auto"/>
        <w:jc w:val="center"/>
        <w:outlineLvl w:val="0"/>
        <w:rPr>
          <w:rFonts w:ascii="方正小标宋简体" w:eastAsia="方正小标宋简体"/>
          <w:kern w:val="44"/>
          <w:sz w:val="36"/>
          <w:szCs w:val="36"/>
        </w:rPr>
      </w:pPr>
      <w:bookmarkStart w:id="32" w:name="_Toc101189349"/>
      <w:r>
        <w:rPr>
          <w:rFonts w:hint="eastAsia" w:ascii="方正小标宋简体" w:eastAsia="方正小标宋简体"/>
          <w:kern w:val="44"/>
          <w:sz w:val="36"/>
          <w:szCs w:val="36"/>
        </w:rPr>
        <w:t>侵害商标权纠纷案</w:t>
      </w:r>
      <w:bookmarkEnd w:id="32"/>
    </w:p>
    <w:p>
      <w:pPr>
        <w:keepNext/>
        <w:keepLines/>
        <w:widowControl/>
        <w:snapToGrid w:val="0"/>
        <w:spacing w:line="360" w:lineRule="auto"/>
        <w:jc w:val="center"/>
        <w:outlineLvl w:val="0"/>
        <w:rPr>
          <w:rFonts w:ascii="楷体_GB2312" w:eastAsia="楷体_GB2312"/>
          <w:kern w:val="44"/>
          <w:sz w:val="32"/>
          <w:szCs w:val="32"/>
        </w:rPr>
      </w:pPr>
      <w:bookmarkStart w:id="33" w:name="_Toc101189350"/>
      <w:r>
        <w:rPr>
          <w:rFonts w:hint="eastAsia" w:ascii="楷体_GB2312" w:eastAsia="楷体_GB2312"/>
          <w:kern w:val="44"/>
          <w:sz w:val="32"/>
          <w:szCs w:val="32"/>
        </w:rPr>
        <w:t>——依法惩治侵犯跨国企业商标权的行为，维护竞争秩序</w:t>
      </w:r>
      <w:bookmarkEnd w:id="33"/>
    </w:p>
    <w:p>
      <w:pPr>
        <w:spacing w:line="360" w:lineRule="auto"/>
        <w:jc w:val="center"/>
        <w:rPr>
          <w:rFonts w:ascii="仿宋_GB2312"/>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霍尼韦尔国际公司（Honeywell International Inc.）是依照美国法律成立的公司，该公司为 “Honeywell”注册商标权利人。林某鹏未经“Honeywell”注册商标所有人许可，先后雇请林某权、林某畅生产假冒上述注册商标的条码扫描仪。后林某鹏等三人被依法追究刑事责任。霍尼韦尔公司提起诉讼，请求林某鹏等三人停止侵权并赔偿损失。</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hint="eastAsia" w:eastAsia="仿宋_GB2312"/>
          <w:sz w:val="32"/>
          <w:szCs w:val="32"/>
        </w:rPr>
      </w:pPr>
      <w:r>
        <w:rPr>
          <w:rFonts w:hint="eastAsia" w:eastAsia="仿宋_GB2312"/>
          <w:sz w:val="32"/>
          <w:szCs w:val="32"/>
        </w:rPr>
        <w:t>江门市新会区人民法院认为，林某鹏等三人的行为侵犯了霍尼韦尔公司注册商标专用权。法院综合考虑林某鹏在其淘宝店铺销售侵权产品盈利所得、三人生产侵犯商标权产品市场价值、霍尼韦尔公司</w:t>
      </w:r>
      <w:r>
        <w:rPr>
          <w:rFonts w:eastAsia="仿宋_GB2312"/>
          <w:sz w:val="32"/>
          <w:szCs w:val="32"/>
        </w:rPr>
        <w:t>注册商标知名度以及制止侵权行为的合理费用</w:t>
      </w:r>
      <w:r>
        <w:rPr>
          <w:rFonts w:hint="eastAsia" w:eastAsia="仿宋_GB2312"/>
          <w:sz w:val="32"/>
          <w:szCs w:val="32"/>
        </w:rPr>
        <w:t>等因素，判决林某鹏</w:t>
      </w:r>
      <w:r>
        <w:rPr>
          <w:rFonts w:eastAsia="仿宋_GB2312"/>
          <w:sz w:val="32"/>
          <w:szCs w:val="32"/>
        </w:rPr>
        <w:t>赔偿</w:t>
      </w:r>
      <w:r>
        <w:rPr>
          <w:rFonts w:hint="eastAsia" w:eastAsia="仿宋_GB2312"/>
          <w:sz w:val="32"/>
          <w:szCs w:val="32"/>
        </w:rPr>
        <w:t>霍尼韦尔公司</w:t>
      </w:r>
      <w:r>
        <w:rPr>
          <w:rFonts w:eastAsia="仿宋_GB2312"/>
          <w:sz w:val="32"/>
          <w:szCs w:val="32"/>
        </w:rPr>
        <w:t>经济损失及合理费用</w:t>
      </w:r>
      <w:r>
        <w:rPr>
          <w:rFonts w:hint="eastAsia" w:eastAsia="仿宋_GB2312"/>
          <w:sz w:val="32"/>
          <w:szCs w:val="32"/>
        </w:rPr>
        <w:t>12万</w:t>
      </w:r>
      <w:r>
        <w:rPr>
          <w:rFonts w:eastAsia="仿宋_GB2312"/>
          <w:sz w:val="32"/>
          <w:szCs w:val="32"/>
        </w:rPr>
        <w:t>元</w:t>
      </w:r>
      <w:r>
        <w:rPr>
          <w:rFonts w:hint="eastAsia" w:eastAsia="仿宋_GB2312"/>
          <w:sz w:val="32"/>
          <w:szCs w:val="32"/>
        </w:rPr>
        <w:t>，并酌定判令林某权、林某畅分别在2万元内承担连带赔偿责任。当事人未提起上诉。</w:t>
      </w:r>
    </w:p>
    <w:p>
      <w:pPr>
        <w:widowControl/>
        <w:snapToGrid w:val="0"/>
        <w:spacing w:line="360" w:lineRule="auto"/>
        <w:ind w:firstLine="640" w:firstLineChars="200"/>
        <w:rPr>
          <w:rFonts w:eastAsia="仿宋_GB2312"/>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人民法院依法判令侵权人为其假冒注册商标的行为承担赔偿责任，保护跨国企业知识产权。</w:t>
      </w:r>
    </w:p>
    <w:p>
      <w:pPr>
        <w:widowControl/>
        <w:adjustRightInd/>
        <w:spacing w:line="360" w:lineRule="auto"/>
        <w:jc w:val="left"/>
        <w:rPr>
          <w:rFonts w:ascii="黑体" w:hAnsi="黑体" w:eastAsia="黑体"/>
          <w:sz w:val="32"/>
          <w:szCs w:val="32"/>
        </w:rPr>
      </w:pPr>
      <w:r>
        <w:rPr>
          <w:rFonts w:ascii="黑体" w:hAnsi="黑体" w:eastAsia="黑体"/>
          <w:sz w:val="32"/>
          <w:szCs w:val="32"/>
        </w:rPr>
        <w:br w:type="page"/>
      </w:r>
      <w:r>
        <w:rPr>
          <w:rFonts w:ascii="黑体" w:hAnsi="黑体" w:eastAsia="黑体"/>
          <w:sz w:val="32"/>
          <w:szCs w:val="32"/>
        </w:rPr>
        <w:t>案例</w:t>
      </w:r>
      <w:r>
        <w:rPr>
          <w:rFonts w:hint="eastAsia" w:ascii="黑体" w:hAnsi="黑体" w:eastAsia="黑体"/>
          <w:sz w:val="32"/>
          <w:szCs w:val="32"/>
        </w:rPr>
        <w:t>14</w:t>
      </w:r>
    </w:p>
    <w:p>
      <w:pPr>
        <w:widowControl/>
        <w:snapToGrid w:val="0"/>
        <w:spacing w:line="360" w:lineRule="auto"/>
        <w:rPr>
          <w:rFonts w:ascii="宋体" w:hAnsi="宋体"/>
          <w:sz w:val="32"/>
          <w:szCs w:val="32"/>
        </w:rPr>
      </w:pPr>
    </w:p>
    <w:p>
      <w:pPr>
        <w:keepNext/>
        <w:keepLines/>
        <w:widowControl/>
        <w:spacing w:line="360" w:lineRule="auto"/>
        <w:jc w:val="center"/>
        <w:outlineLvl w:val="0"/>
        <w:rPr>
          <w:rFonts w:ascii="方正小标宋简体" w:eastAsia="方正小标宋简体"/>
          <w:spacing w:val="-8"/>
          <w:kern w:val="44"/>
          <w:sz w:val="36"/>
          <w:szCs w:val="36"/>
        </w:rPr>
      </w:pPr>
      <w:r>
        <w:rPr>
          <w:rFonts w:hint="eastAsia" w:ascii="方正小标宋简体" w:eastAsia="方正小标宋简体"/>
          <w:spacing w:val="-8"/>
          <w:kern w:val="44"/>
          <w:sz w:val="36"/>
          <w:szCs w:val="36"/>
        </w:rPr>
        <w:t>星辉公司诉正凯公司、李某不正当竞争纠纷案</w:t>
      </w:r>
    </w:p>
    <w:p>
      <w:pPr>
        <w:keepNext/>
        <w:keepLines/>
        <w:widowControl/>
        <w:spacing w:line="360" w:lineRule="auto"/>
        <w:jc w:val="center"/>
        <w:outlineLvl w:val="0"/>
        <w:rPr>
          <w:rFonts w:ascii="楷体_GB2312" w:eastAsia="楷体_GB2312"/>
          <w:kern w:val="44"/>
          <w:sz w:val="32"/>
          <w:szCs w:val="32"/>
        </w:rPr>
      </w:pPr>
      <w:r>
        <w:rPr>
          <w:rFonts w:hint="eastAsia" w:ascii="楷体_GB2312" w:eastAsia="楷体_GB2312"/>
          <w:kern w:val="44"/>
          <w:sz w:val="32"/>
          <w:szCs w:val="32"/>
        </w:rPr>
        <w:t>——混淆知名电影作品名称构成不正当竞争</w:t>
      </w:r>
    </w:p>
    <w:p>
      <w:pPr>
        <w:ind w:firstLine="643" w:firstLineChars="200"/>
        <w:rPr>
          <w:rFonts w:ascii="仿宋_GB2312" w:hAnsi="宋体" w:eastAsia="仿宋_GB2312" w:cs="仿宋_GB2312"/>
          <w:b/>
          <w:bCs/>
          <w:kern w:val="0"/>
          <w:sz w:val="32"/>
          <w:szCs w:val="32"/>
        </w:rPr>
      </w:pPr>
    </w:p>
    <w:p>
      <w:pPr>
        <w:widowControl/>
        <w:spacing w:line="360" w:lineRule="auto"/>
        <w:ind w:firstLine="640" w:firstLineChars="200"/>
        <w:rPr>
          <w:rFonts w:eastAsia="黑体"/>
          <w:sz w:val="32"/>
          <w:szCs w:val="32"/>
        </w:rPr>
      </w:pPr>
      <w:r>
        <w:rPr>
          <w:rFonts w:hint="eastAsia" w:eastAsia="黑体"/>
          <w:sz w:val="32"/>
          <w:szCs w:val="32"/>
        </w:rPr>
        <w:t>基本案情</w:t>
      </w:r>
    </w:p>
    <w:p>
      <w:pPr>
        <w:spacing w:line="360" w:lineRule="auto"/>
        <w:ind w:firstLine="640" w:firstLineChars="200"/>
        <w:rPr>
          <w:rFonts w:eastAsia="仿宋_GB2312"/>
          <w:sz w:val="32"/>
          <w:szCs w:val="32"/>
        </w:rPr>
      </w:pPr>
      <w:r>
        <w:rPr>
          <w:rFonts w:hint="eastAsia" w:eastAsia="仿宋_GB2312"/>
          <w:sz w:val="32"/>
          <w:szCs w:val="32"/>
        </w:rPr>
        <w:t>1999年电影《喜剧之王》在香港上映后获得了较高的票房收入，在香港具有较高的知名度，并于1999年至2015年期间被内地媒体持续报道和推介，视频网站至今仍提供该电影的在线播放服务。该电影导演之一李某和正凯公司于2018年发布被诉侵权电视剧《喜剧之王2018》及演员海选试镜会的微博，准备筹拍该剧，同时宣传“连续剧版#喜剧之王#”、“《喜剧之王2018》电视连续剧改编自1999年喜剧电影《喜剧之王》”等。电影《喜剧之王》的著作权人星辉公司提起本案诉讼，主张李某和正凯公司存在仿冒混淆有一定影响的电影作品名称以及构成虚假宣传的不正当竞争行为，请求赔礼道歉和赔偿损失。</w:t>
      </w:r>
    </w:p>
    <w:p>
      <w:pPr>
        <w:spacing w:line="360" w:lineRule="auto"/>
        <w:ind w:firstLine="640" w:firstLineChars="200"/>
        <w:rPr>
          <w:rFonts w:ascii="仿宋_GB2312" w:hAnsi="宋体" w:eastAsia="仿宋_GB2312"/>
          <w:b/>
          <w:bCs/>
          <w:kern w:val="0"/>
          <w:sz w:val="32"/>
          <w:szCs w:val="32"/>
        </w:rPr>
      </w:pPr>
      <w:r>
        <w:rPr>
          <w:rFonts w:hint="eastAsia" w:eastAsia="黑体"/>
          <w:sz w:val="32"/>
          <w:szCs w:val="32"/>
        </w:rPr>
        <w:t>裁判结果</w:t>
      </w:r>
    </w:p>
    <w:p>
      <w:pPr>
        <w:spacing w:line="360" w:lineRule="auto"/>
        <w:ind w:firstLine="640" w:firstLineChars="200"/>
        <w:rPr>
          <w:rFonts w:eastAsia="仿宋_GB2312"/>
          <w:sz w:val="32"/>
          <w:szCs w:val="32"/>
        </w:rPr>
      </w:pPr>
      <w:r>
        <w:rPr>
          <w:rFonts w:hint="eastAsia" w:eastAsia="仿宋_GB2312"/>
          <w:sz w:val="32"/>
          <w:szCs w:val="32"/>
        </w:rPr>
        <w:t>广州市天河区人民法院一审认为，案涉《喜剧之王2018》电视剧，与电影之间属于类似商品，被诉行为易使相关公众误以为该剧是电影《喜剧之王》的电视剧版或者续集，相关行为构成仿冒混淆有一定影响的电影作品名称及虚假宣传不正当竞争行为，判令李某和正凯公司刊登声明消除不良影响，并赔偿星辉公司经济损失1元及合理支出12万元。广州知识产权法院二审维持原判。</w:t>
      </w:r>
    </w:p>
    <w:p>
      <w:pPr>
        <w:widowControl/>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人民法院依法认定在内地具有较高知名度的香港电影名称，属于有一定影响的商品名称，依法维护粤港澳大湾区影视市场的竞争秩序。</w:t>
      </w:r>
    </w:p>
    <w:p>
      <w:pPr>
        <w:widowControl/>
        <w:adjustRightInd/>
        <w:spacing w:line="360" w:lineRule="auto"/>
        <w:jc w:val="left"/>
        <w:rPr>
          <w:rFonts w:eastAsia="仿宋_GB2312"/>
          <w:sz w:val="32"/>
          <w:szCs w:val="32"/>
        </w:rPr>
      </w:pPr>
      <w:r>
        <w:rPr>
          <w:rFonts w:eastAsia="仿宋_GB2312"/>
          <w:sz w:val="32"/>
          <w:szCs w:val="32"/>
        </w:rPr>
        <w:br w:type="page"/>
      </w:r>
      <w:r>
        <w:rPr>
          <w:rFonts w:eastAsia="仿宋_GB2312"/>
          <w:sz w:val="32"/>
          <w:szCs w:val="32"/>
        </w:rPr>
        <w:t xml:space="preserve"> </w:t>
      </w:r>
    </w:p>
    <w:p>
      <w:pPr>
        <w:widowControl/>
        <w:adjustRightInd/>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15</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34" w:name="_Toc101189361"/>
      <w:r>
        <w:rPr>
          <w:rFonts w:hint="eastAsia" w:ascii="方正小标宋简体" w:eastAsia="方正小标宋简体"/>
          <w:kern w:val="44"/>
          <w:sz w:val="36"/>
          <w:szCs w:val="36"/>
        </w:rPr>
        <w:t>何某豪等诉天一公司海上人身损害责任纠纷案</w:t>
      </w:r>
      <w:bookmarkEnd w:id="34"/>
    </w:p>
    <w:p>
      <w:pPr>
        <w:keepNext/>
        <w:keepLines/>
        <w:widowControl/>
        <w:snapToGrid w:val="0"/>
        <w:spacing w:line="360" w:lineRule="auto"/>
        <w:jc w:val="center"/>
        <w:outlineLvl w:val="0"/>
        <w:rPr>
          <w:rFonts w:ascii="楷体_GB2312" w:eastAsia="楷体_GB2312"/>
          <w:kern w:val="44"/>
          <w:sz w:val="32"/>
          <w:szCs w:val="32"/>
        </w:rPr>
      </w:pPr>
      <w:bookmarkStart w:id="35" w:name="_Toc101189362"/>
      <w:r>
        <w:rPr>
          <w:rFonts w:hint="eastAsia" w:ascii="楷体_GB2312" w:eastAsia="楷体_GB2312"/>
          <w:kern w:val="44"/>
          <w:sz w:val="32"/>
          <w:szCs w:val="32"/>
        </w:rPr>
        <w:t>——港澳居民在内地遭受人身损害按受诉法院所在地</w:t>
      </w:r>
      <w:bookmarkEnd w:id="35"/>
    </w:p>
    <w:p>
      <w:pPr>
        <w:keepNext/>
        <w:keepLines/>
        <w:widowControl/>
        <w:snapToGrid w:val="0"/>
        <w:spacing w:line="360" w:lineRule="auto"/>
        <w:jc w:val="center"/>
        <w:outlineLvl w:val="0"/>
        <w:rPr>
          <w:rFonts w:ascii="楷体_GB2312" w:eastAsia="楷体_GB2312"/>
          <w:kern w:val="44"/>
          <w:sz w:val="32"/>
          <w:szCs w:val="32"/>
        </w:rPr>
      </w:pPr>
      <w:bookmarkStart w:id="36" w:name="_Toc101189363"/>
      <w:r>
        <w:rPr>
          <w:rFonts w:hint="eastAsia" w:ascii="楷体_GB2312" w:eastAsia="楷体_GB2312"/>
          <w:kern w:val="44"/>
          <w:sz w:val="32"/>
          <w:szCs w:val="32"/>
        </w:rPr>
        <w:t>城镇居民标准赔偿</w:t>
      </w:r>
      <w:bookmarkEnd w:id="36"/>
    </w:p>
    <w:p>
      <w:pPr>
        <w:adjustRightInd/>
        <w:ind w:left="480"/>
        <w:rPr>
          <w:rFonts w:ascii="仿宋_GB2312" w:hAnsi="宋体" w:eastAsia="仿宋_GB2312" w:cs="仿宋_GB2312"/>
          <w:b/>
          <w:kern w:val="0"/>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2019年3月12日，香港居民何某豪、何某慧的父母驾驶的渔船“珠桂6234”轮与浙江天一海运有限公司所属的“天一5”轮在珠江口担杆水道第二通航分道发生碰撞，造成“珠桂6234”轮全损，何某豪、何某慧的父母不幸身故。广州沙角海事处调查事故后，认定“珠桂6234”轮负事故主要责任，“天一5”轮负事故次要责任。何某豪、何某慧提起诉讼，主张其父母为香港居民，应</w:t>
      </w:r>
      <w:r>
        <w:rPr>
          <w:rFonts w:eastAsia="仿宋_GB2312"/>
          <w:sz w:val="32"/>
          <w:szCs w:val="32"/>
        </w:rPr>
        <w:t>按照</w:t>
      </w:r>
      <w:r>
        <w:rPr>
          <w:rFonts w:hint="eastAsia" w:eastAsia="仿宋_GB2312"/>
          <w:sz w:val="32"/>
          <w:szCs w:val="32"/>
        </w:rPr>
        <w:t>香港</w:t>
      </w:r>
      <w:r>
        <w:rPr>
          <w:rFonts w:eastAsia="仿宋_GB2312"/>
          <w:sz w:val="32"/>
          <w:szCs w:val="32"/>
        </w:rPr>
        <w:t>居民人均可支配收入标准计算死亡赔偿金</w:t>
      </w:r>
      <w:r>
        <w:rPr>
          <w:rFonts w:hint="eastAsia" w:eastAsia="仿宋_GB2312"/>
          <w:sz w:val="32"/>
          <w:szCs w:val="32"/>
        </w:rPr>
        <w:t>等各项损失。</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广州海事法院认为，根据《最高人民法院关于审理人身损害赔偿案件适用法律若干问题的解释》的规定，死亡赔偿金按照受诉法院所在地上一年度城镇居民人均可支配收入或者农村人均纯收入标准计算。本案“珠桂6234”轮为粤港澳流动渔船，入会港为广东省珠海市桂山，碰撞事故发生在珠海海域，故判决按照珠海市城镇居民人均可支配收入标准计算死亡赔偿金。当事人未提起上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人民法院根据港澳流动渔船碰撞事故发生地，依法确定香港居民在内地遭受人身损害的赔偿标准，平等保护境内外诉讼主体合法权益。</w:t>
      </w:r>
    </w:p>
    <w:p>
      <w:pPr>
        <w:widowControl/>
        <w:adjustRightInd/>
        <w:jc w:val="left"/>
        <w:rPr>
          <w:rFonts w:eastAsia="仿宋_GB2312"/>
          <w:sz w:val="32"/>
          <w:szCs w:val="32"/>
        </w:rPr>
      </w:pPr>
      <w:r>
        <w:rPr>
          <w:rFonts w:eastAsia="仿宋_GB2312"/>
          <w:sz w:val="32"/>
          <w:szCs w:val="32"/>
        </w:rPr>
        <w:br w:type="page"/>
      </w:r>
    </w:p>
    <w:p>
      <w:pPr>
        <w:widowControl/>
        <w:adjustRightInd/>
        <w:jc w:val="left"/>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16</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37" w:name="_Toc101189367"/>
      <w:r>
        <w:rPr>
          <w:rFonts w:hint="eastAsia" w:ascii="方正小标宋简体" w:eastAsia="方正小标宋简体"/>
          <w:kern w:val="44"/>
          <w:sz w:val="36"/>
          <w:szCs w:val="36"/>
        </w:rPr>
        <w:t>樊某仪、郭某妹诉黄某弟等海上人身损害责任纠纷案</w:t>
      </w:r>
      <w:bookmarkEnd w:id="37"/>
    </w:p>
    <w:p>
      <w:pPr>
        <w:keepNext/>
        <w:keepLines/>
        <w:widowControl/>
        <w:snapToGrid w:val="0"/>
        <w:spacing w:line="360" w:lineRule="auto"/>
        <w:jc w:val="center"/>
        <w:outlineLvl w:val="0"/>
        <w:rPr>
          <w:rFonts w:ascii="楷体_GB2312" w:eastAsia="楷体_GB2312"/>
          <w:kern w:val="44"/>
          <w:sz w:val="32"/>
          <w:szCs w:val="32"/>
        </w:rPr>
      </w:pPr>
      <w:bookmarkStart w:id="38" w:name="_Toc101189368"/>
      <w:r>
        <w:rPr>
          <w:rFonts w:hint="eastAsia" w:ascii="楷体_GB2312" w:eastAsia="楷体_GB2312"/>
          <w:kern w:val="44"/>
          <w:sz w:val="32"/>
          <w:szCs w:val="32"/>
        </w:rPr>
        <w:t>——利用智慧法院建设成果，多方联动化解涉港澳纠纷</w:t>
      </w:r>
      <w:bookmarkEnd w:id="38"/>
    </w:p>
    <w:p>
      <w:pPr>
        <w:adjustRightInd/>
        <w:ind w:left="480"/>
        <w:rPr>
          <w:rFonts w:ascii="仿宋_GB2312" w:hAnsi="宋体" w:eastAsia="仿宋_GB2312" w:cs="仿宋_GB2312"/>
          <w:b/>
          <w:kern w:val="0"/>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“珠香1746”渔船的船籍港为香港，</w:t>
      </w:r>
      <w:r>
        <w:rPr>
          <w:rFonts w:eastAsia="仿宋_GB2312"/>
          <w:sz w:val="32"/>
          <w:szCs w:val="32"/>
        </w:rPr>
        <w:t>船舶所有人</w:t>
      </w:r>
      <w:r>
        <w:rPr>
          <w:rFonts w:hint="eastAsia" w:eastAsia="仿宋_GB2312"/>
          <w:sz w:val="32"/>
          <w:szCs w:val="32"/>
        </w:rPr>
        <w:t>为澳门居民周某贵。2019年4月18日，“珠香1746”渔船在广东省珠海大万山岛南面作业时失去联系。后经搜救确认该渔船沉没，船上包括周某贵在内的8人无一生还。</w:t>
      </w:r>
      <w:r>
        <w:rPr>
          <w:rFonts w:eastAsia="仿宋_GB2312"/>
          <w:sz w:val="32"/>
          <w:szCs w:val="32"/>
        </w:rPr>
        <w:t>樊</w:t>
      </w:r>
      <w:r>
        <w:rPr>
          <w:rFonts w:hint="eastAsia" w:eastAsia="仿宋_GB2312"/>
          <w:sz w:val="32"/>
          <w:szCs w:val="32"/>
        </w:rPr>
        <w:t>某</w:t>
      </w:r>
      <w:r>
        <w:rPr>
          <w:rFonts w:eastAsia="仿宋_GB2312"/>
          <w:sz w:val="32"/>
          <w:szCs w:val="32"/>
        </w:rPr>
        <w:t>仪、郭</w:t>
      </w:r>
      <w:r>
        <w:rPr>
          <w:rFonts w:hint="eastAsia" w:eastAsia="仿宋_GB2312"/>
          <w:sz w:val="32"/>
          <w:szCs w:val="32"/>
        </w:rPr>
        <w:t>某</w:t>
      </w:r>
      <w:r>
        <w:rPr>
          <w:rFonts w:eastAsia="仿宋_GB2312"/>
          <w:sz w:val="32"/>
          <w:szCs w:val="32"/>
        </w:rPr>
        <w:t>妹</w:t>
      </w:r>
      <w:r>
        <w:rPr>
          <w:rFonts w:hint="eastAsia" w:eastAsia="仿宋_GB2312"/>
          <w:sz w:val="32"/>
          <w:szCs w:val="32"/>
        </w:rPr>
        <w:t>作为遇难内地渔工的近亲属提起诉讼，请求周某贵的继承人即澳门居民</w:t>
      </w:r>
      <w:r>
        <w:rPr>
          <w:rFonts w:eastAsia="仿宋_GB2312"/>
          <w:sz w:val="32"/>
          <w:szCs w:val="32"/>
        </w:rPr>
        <w:t>黄</w:t>
      </w:r>
      <w:r>
        <w:rPr>
          <w:rFonts w:hint="eastAsia" w:eastAsia="仿宋_GB2312"/>
          <w:sz w:val="32"/>
          <w:szCs w:val="32"/>
        </w:rPr>
        <w:t>某</w:t>
      </w:r>
      <w:r>
        <w:rPr>
          <w:rFonts w:eastAsia="仿宋_GB2312"/>
          <w:sz w:val="32"/>
          <w:szCs w:val="32"/>
        </w:rPr>
        <w:t>弟、</w:t>
      </w:r>
      <w:r>
        <w:rPr>
          <w:rFonts w:hint="eastAsia" w:eastAsia="仿宋_GB2312"/>
          <w:sz w:val="32"/>
          <w:szCs w:val="32"/>
        </w:rPr>
        <w:t>周某</w:t>
      </w:r>
      <w:r>
        <w:rPr>
          <w:rFonts w:hint="eastAsia" w:ascii="宋体" w:hAnsi="宋体" w:cs="宋体"/>
          <w:sz w:val="32"/>
          <w:szCs w:val="32"/>
        </w:rPr>
        <w:t>昇</w:t>
      </w:r>
      <w:r>
        <w:rPr>
          <w:rFonts w:hint="eastAsia" w:ascii="仿宋_GB2312" w:hAnsi="仿宋_GB2312" w:eastAsia="仿宋_GB2312" w:cs="仿宋_GB2312"/>
          <w:sz w:val="32"/>
          <w:szCs w:val="32"/>
        </w:rPr>
        <w:t>、周某</w:t>
      </w:r>
      <w:r>
        <w:rPr>
          <w:rFonts w:hint="eastAsia" w:ascii="宋体" w:hAnsi="宋体" w:cs="宋体"/>
          <w:sz w:val="32"/>
          <w:szCs w:val="32"/>
        </w:rPr>
        <w:t>渟</w:t>
      </w:r>
      <w:r>
        <w:rPr>
          <w:rFonts w:hint="eastAsia" w:ascii="仿宋_GB2312" w:hAnsi="仿宋_GB2312" w:eastAsia="仿宋_GB2312" w:cs="仿宋_GB2312"/>
          <w:sz w:val="32"/>
          <w:szCs w:val="32"/>
        </w:rPr>
        <w:t>支付人身损害赔偿款。</w:t>
      </w:r>
    </w:p>
    <w:p>
      <w:pPr>
        <w:widowControl/>
        <w:spacing w:line="360" w:lineRule="auto"/>
        <w:ind w:firstLine="640" w:firstLineChars="200"/>
        <w:rPr>
          <w:rFonts w:eastAsia="黑体"/>
          <w:sz w:val="32"/>
          <w:szCs w:val="32"/>
        </w:rPr>
      </w:pPr>
      <w:r>
        <w:rPr>
          <w:rFonts w:hint="eastAsia" w:eastAsia="黑体"/>
          <w:sz w:val="32"/>
          <w:szCs w:val="32"/>
        </w:rPr>
        <w:t>裁判结果</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广州海事法院在诉前联合珠海市港澳流动渔民协会组织各方当事人调解，顺利解决了澳门当事人的送达问题，并查清了周某贵的继承人情况。立案后，安排熟悉澳门当地社会背景、法律环境的澳门陪审员作为合议庭成员，并联合珠海市港澳流动渔民协会继续开展调解工作。在案件审理过程中，借助授权见证平台连线澳门、珠海两地，完成了澳门当事人的跨境授权见证。经调解，各方当事人最终达成调解协议，广州海事法院出具调解书予以确认。</w:t>
      </w:r>
      <w:r>
        <w:rPr>
          <w:rFonts w:eastAsia="仿宋_GB2312"/>
          <w:sz w:val="32"/>
          <w:szCs w:val="32"/>
        </w:rPr>
        <w:t>黄</w:t>
      </w:r>
      <w:r>
        <w:rPr>
          <w:rFonts w:hint="eastAsia" w:eastAsia="仿宋_GB2312"/>
          <w:sz w:val="32"/>
          <w:szCs w:val="32"/>
        </w:rPr>
        <w:t>某</w:t>
      </w:r>
      <w:r>
        <w:rPr>
          <w:rFonts w:eastAsia="仿宋_GB2312"/>
          <w:sz w:val="32"/>
          <w:szCs w:val="32"/>
        </w:rPr>
        <w:t>弟</w:t>
      </w:r>
      <w:r>
        <w:rPr>
          <w:rFonts w:hint="eastAsia" w:eastAsia="仿宋_GB2312"/>
          <w:sz w:val="32"/>
          <w:szCs w:val="32"/>
        </w:rPr>
        <w:t>等人已主动履行全部义务。</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人民法院利用智慧法院网络平台，集中行业协会、澳门陪审员等多方参与，妥善化解涉港澳渔民人身损害赔偿纠纷。</w:t>
      </w:r>
    </w:p>
    <w:p>
      <w:pPr>
        <w:widowControl/>
        <w:adjustRightInd/>
        <w:jc w:val="left"/>
        <w:rPr>
          <w:rFonts w:ascii="黑体" w:hAnsi="黑体" w:eastAsia="黑体"/>
          <w:sz w:val="32"/>
          <w:szCs w:val="32"/>
        </w:rPr>
      </w:pPr>
      <w:r>
        <w:rPr>
          <w:rFonts w:eastAsia="仿宋_GB2312"/>
          <w:sz w:val="32"/>
          <w:szCs w:val="32"/>
        </w:rPr>
        <w:br w:type="page"/>
      </w:r>
      <w:r>
        <w:rPr>
          <w:rFonts w:ascii="黑体" w:hAnsi="黑体" w:eastAsia="黑体"/>
          <w:sz w:val="32"/>
          <w:szCs w:val="32"/>
        </w:rPr>
        <w:t>案例</w:t>
      </w:r>
      <w:r>
        <w:rPr>
          <w:rFonts w:hint="eastAsia" w:ascii="黑体" w:hAnsi="黑体" w:eastAsia="黑体"/>
          <w:sz w:val="32"/>
          <w:szCs w:val="32"/>
        </w:rPr>
        <w:t>17</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39" w:name="_Toc101189369"/>
      <w:r>
        <w:rPr>
          <w:rFonts w:hint="eastAsia" w:ascii="方正小标宋简体" w:eastAsia="方正小标宋简体"/>
          <w:kern w:val="44"/>
          <w:sz w:val="36"/>
          <w:szCs w:val="36"/>
        </w:rPr>
        <w:t>WS公司诉宏柏公司等合同纠纷案</w:t>
      </w:r>
      <w:bookmarkEnd w:id="39"/>
    </w:p>
    <w:p>
      <w:pPr>
        <w:keepNext/>
        <w:keepLines/>
        <w:widowControl/>
        <w:snapToGrid w:val="0"/>
        <w:spacing w:line="360" w:lineRule="auto"/>
        <w:jc w:val="center"/>
        <w:outlineLvl w:val="0"/>
        <w:rPr>
          <w:rFonts w:ascii="楷体_GB2312" w:eastAsia="楷体_GB2312"/>
          <w:kern w:val="44"/>
          <w:sz w:val="32"/>
          <w:szCs w:val="32"/>
        </w:rPr>
      </w:pPr>
      <w:bookmarkStart w:id="40" w:name="_Toc101189370"/>
      <w:r>
        <w:rPr>
          <w:rFonts w:hint="eastAsia" w:ascii="楷体_GB2312" w:eastAsia="楷体_GB2312"/>
          <w:kern w:val="44"/>
          <w:sz w:val="32"/>
          <w:szCs w:val="32"/>
        </w:rPr>
        <w:t>——人民法院委托香港调解员适用香港调解规则</w:t>
      </w:r>
      <w:bookmarkEnd w:id="40"/>
    </w:p>
    <w:p>
      <w:pPr>
        <w:keepNext/>
        <w:keepLines/>
        <w:widowControl/>
        <w:snapToGrid w:val="0"/>
        <w:spacing w:line="360" w:lineRule="auto"/>
        <w:jc w:val="center"/>
        <w:outlineLvl w:val="0"/>
        <w:rPr>
          <w:rFonts w:ascii="楷体_GB2312" w:eastAsia="楷体_GB2312"/>
          <w:kern w:val="44"/>
          <w:sz w:val="32"/>
          <w:szCs w:val="32"/>
        </w:rPr>
      </w:pPr>
      <w:bookmarkStart w:id="41" w:name="_Toc101189371"/>
      <w:r>
        <w:rPr>
          <w:rFonts w:hint="eastAsia" w:ascii="楷体_GB2312" w:eastAsia="楷体_GB2312"/>
          <w:kern w:val="44"/>
          <w:sz w:val="32"/>
          <w:szCs w:val="32"/>
        </w:rPr>
        <w:t>化解跨境纠纷，探索两地调解规则衔接</w:t>
      </w:r>
      <w:bookmarkEnd w:id="41"/>
    </w:p>
    <w:p>
      <w:pPr>
        <w:widowControl/>
        <w:snapToGrid w:val="0"/>
        <w:spacing w:line="360" w:lineRule="auto"/>
        <w:ind w:firstLine="640" w:firstLineChars="200"/>
        <w:rPr>
          <w:rFonts w:ascii="Calibri" w:hAnsi="Calibri" w:eastAsia="仿宋_GB2312"/>
          <w:bCs/>
          <w:sz w:val="32"/>
          <w:szCs w:val="32"/>
        </w:rPr>
      </w:pPr>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2014年11月， 香港企业Water Solutions（HK）Limited即WS公司与宏柏家电（深圳）有限公司、深圳市宏宇大成投资有限公司、龙某川、吴某伟等发生纠纷，WS公司向美国仲裁协会国际争议解决中心国际仲裁庭申请仲裁，该仲裁庭作出仲裁裁决，裁决宏柏公司等向WS公司支付各类损失370余万美元。2018年5月，深圳市中级人民法院作出承认并执行仲裁裁决的民事裁定书。2018年4月至7月，宏柏公司与龙某川等配合将公司的全部财产转移。WS公司提起诉讼，请求确认宏柏公司与龙某川等之间的土地、房产、股权、应收账款等转让行为无效。</w:t>
      </w:r>
    </w:p>
    <w:p>
      <w:pPr>
        <w:widowControl/>
        <w:snapToGrid w:val="0"/>
        <w:spacing w:line="360" w:lineRule="auto"/>
        <w:ind w:firstLine="640" w:firstLineChars="200"/>
        <w:rPr>
          <w:rFonts w:eastAsia="仿宋_GB2312"/>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深圳市中级人民法院将案件导入先行调解程序，委派香港特邀调解员进行调解。调解员在沟通过程中采用香港的“促进式调解规则”，着重引导当事人如何确认“无争议事实”，了解其真正需求。同时，调解员注重做好当事人的“情绪管理”，通过在线沟通等多种方式，舒缓当事人不满情绪，再寻找适当时机将当事人带回谈判思路中。双方最终达成和解协议并履行完毕，WS公司申请撤回了起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snapToGrid w:val="0"/>
        <w:spacing w:line="360" w:lineRule="auto"/>
        <w:ind w:firstLine="640" w:firstLineChars="200"/>
        <w:rPr>
          <w:rFonts w:eastAsia="仿宋_GB2312"/>
          <w:sz w:val="32"/>
          <w:szCs w:val="32"/>
        </w:rPr>
      </w:pPr>
      <w:r>
        <w:rPr>
          <w:rFonts w:hint="eastAsia" w:eastAsia="仿宋_GB2312"/>
          <w:sz w:val="32"/>
          <w:szCs w:val="32"/>
        </w:rPr>
        <w:t>人民法院聘请香港特邀调解员，通过在线调解方式适用香港调解规则化解跨境纠纷，体现了粤港两地的规则衔接。</w:t>
      </w:r>
    </w:p>
    <w:p>
      <w:pPr>
        <w:widowControl/>
        <w:adjustRightInd/>
        <w:jc w:val="left"/>
        <w:rPr>
          <w:rFonts w:ascii="黑体" w:hAnsi="黑体" w:eastAsia="黑体"/>
          <w:sz w:val="32"/>
          <w:szCs w:val="32"/>
        </w:rPr>
      </w:pPr>
      <w:r>
        <w:rPr>
          <w:rFonts w:eastAsia="仿宋_GB2312"/>
          <w:sz w:val="32"/>
          <w:szCs w:val="32"/>
        </w:rPr>
        <w:br w:type="page"/>
      </w:r>
      <w:r>
        <w:rPr>
          <w:rFonts w:ascii="黑体" w:hAnsi="黑体" w:eastAsia="黑体"/>
          <w:sz w:val="32"/>
          <w:szCs w:val="32"/>
        </w:rPr>
        <w:t>案例</w:t>
      </w:r>
      <w:r>
        <w:rPr>
          <w:rFonts w:hint="eastAsia" w:ascii="黑体" w:hAnsi="黑体" w:eastAsia="黑体"/>
          <w:sz w:val="32"/>
          <w:szCs w:val="32"/>
        </w:rPr>
        <w:t>18</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42" w:name="_Toc101189372"/>
      <w:r>
        <w:rPr>
          <w:rFonts w:hint="eastAsia" w:ascii="方正小标宋简体" w:eastAsia="方正小标宋简体"/>
          <w:kern w:val="44"/>
          <w:sz w:val="36"/>
          <w:szCs w:val="36"/>
        </w:rPr>
        <w:t>越秀物业公司诉曼思顿公司、曾某文等物业合同纠纷系列案</w:t>
      </w:r>
      <w:bookmarkEnd w:id="42"/>
    </w:p>
    <w:p>
      <w:pPr>
        <w:keepNext/>
        <w:keepLines/>
        <w:widowControl/>
        <w:snapToGrid w:val="0"/>
        <w:spacing w:line="360" w:lineRule="auto"/>
        <w:jc w:val="center"/>
        <w:outlineLvl w:val="0"/>
        <w:rPr>
          <w:rFonts w:ascii="楷体_GB2312" w:eastAsia="楷体_GB2312"/>
          <w:kern w:val="44"/>
          <w:sz w:val="32"/>
          <w:szCs w:val="32"/>
        </w:rPr>
      </w:pPr>
      <w:bookmarkStart w:id="43" w:name="_Toc101189373"/>
      <w:r>
        <w:rPr>
          <w:rFonts w:hint="eastAsia" w:ascii="楷体_GB2312" w:eastAsia="楷体_GB2312"/>
          <w:kern w:val="44"/>
          <w:sz w:val="32"/>
          <w:szCs w:val="32"/>
        </w:rPr>
        <w:t>——人民法院委托香港调解员就地高效化解跨境纠纷，</w:t>
      </w:r>
      <w:bookmarkEnd w:id="43"/>
    </w:p>
    <w:p>
      <w:pPr>
        <w:keepNext/>
        <w:keepLines/>
        <w:widowControl/>
        <w:snapToGrid w:val="0"/>
        <w:spacing w:line="360" w:lineRule="auto"/>
        <w:jc w:val="center"/>
        <w:outlineLvl w:val="0"/>
        <w:rPr>
          <w:rFonts w:ascii="楷体_GB2312" w:eastAsia="楷体_GB2312"/>
          <w:kern w:val="44"/>
          <w:sz w:val="32"/>
          <w:szCs w:val="32"/>
        </w:rPr>
      </w:pPr>
      <w:bookmarkStart w:id="44" w:name="_Toc101189374"/>
      <w:r>
        <w:rPr>
          <w:rFonts w:hint="eastAsia" w:ascii="楷体_GB2312" w:eastAsia="楷体_GB2312"/>
          <w:kern w:val="44"/>
          <w:sz w:val="32"/>
          <w:szCs w:val="32"/>
        </w:rPr>
        <w:t>探索两地调解机制对接</w:t>
      </w:r>
      <w:bookmarkEnd w:id="44"/>
    </w:p>
    <w:p/>
    <w:p>
      <w:pPr>
        <w:widowControl/>
        <w:snapToGrid w:val="0"/>
        <w:spacing w:line="360" w:lineRule="auto"/>
        <w:ind w:firstLine="640" w:firstLineChars="200"/>
        <w:rPr>
          <w:rFonts w:eastAsia="黑体"/>
          <w:sz w:val="32"/>
          <w:szCs w:val="32"/>
        </w:rPr>
      </w:pPr>
      <w:r>
        <w:rPr>
          <w:rFonts w:hint="eastAsia"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香港居民曾某文等20人在广东省佛山市禅城区购置房产，并与广州越秀物业发展有限公司禅城区分公司签订《物业服务协议》，由越秀物业公司向曾某文等人提供物业管理服务。此后，曾某文等又与佛山市曼思顿酒店管理有限公司签订代管协议，约定将上述房产交由曼思顿公司代租代管，并由曼思顿公司缴纳物业管理费。后因曼思顿公司及各业主均未缴纳物业管理费，越秀物业公司提起诉讼，请求曼思顿公司、曾某文等人支付拖欠的物业管理费。</w:t>
      </w:r>
    </w:p>
    <w:p>
      <w:pPr>
        <w:widowControl/>
        <w:snapToGrid w:val="0"/>
        <w:spacing w:line="360" w:lineRule="auto"/>
        <w:ind w:firstLine="640" w:firstLineChars="200"/>
        <w:rPr>
          <w:rFonts w:eastAsia="黑体"/>
          <w:sz w:val="32"/>
          <w:szCs w:val="32"/>
        </w:rPr>
      </w:pPr>
      <w:r>
        <w:rPr>
          <w:rFonts w:hint="eastAsia"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佛山市禅城区人民法院受理案件后，发现受疫情影响，香港当事人有的无法联系，有的不能参加庭审，有的认为无需承担责任。为保障当事人合法权益，法院委托香港特邀调解员对案件进行调解。调解员在接受委托后，按照业主的香港电话号码和香港地址，逐一与18名业主取得联系并送达法律文书，耐心解释内地关于物业管理方面的法律规定以及作为业主与酒店管理公司之间关于物业托管的权利义务关系。之后，18名业主缴纳了物业管理费，越秀物业公司申请撤回起诉。</w:t>
      </w:r>
    </w:p>
    <w:p>
      <w:pPr>
        <w:widowControl/>
        <w:snapToGrid w:val="0"/>
        <w:spacing w:line="360" w:lineRule="auto"/>
        <w:ind w:firstLine="640" w:firstLineChars="200"/>
        <w:rPr>
          <w:rFonts w:eastAsia="黑体"/>
          <w:sz w:val="32"/>
          <w:szCs w:val="32"/>
        </w:rPr>
      </w:pPr>
      <w:r>
        <w:rPr>
          <w:rFonts w:hint="eastAsia" w:eastAsia="黑体"/>
          <w:sz w:val="32"/>
          <w:szCs w:val="32"/>
        </w:rPr>
        <w:t>典型意义</w:t>
      </w:r>
    </w:p>
    <w:p>
      <w:pPr>
        <w:widowControl/>
        <w:adjustRightInd/>
        <w:spacing w:line="360" w:lineRule="auto"/>
        <w:ind w:firstLine="640" w:firstLineChars="200"/>
        <w:jc w:val="left"/>
        <w:rPr>
          <w:rFonts w:eastAsia="仿宋_GB2312"/>
          <w:sz w:val="32"/>
          <w:szCs w:val="32"/>
        </w:rPr>
      </w:pPr>
      <w:r>
        <w:rPr>
          <w:rFonts w:hint="eastAsia" w:eastAsia="仿宋_GB2312"/>
          <w:sz w:val="32"/>
          <w:szCs w:val="32"/>
        </w:rPr>
        <w:t>人民法院探索委托香港特邀调解员在香港协助送达并成功调解纠纷，降低了当事人的跨境维权成本。</w:t>
      </w:r>
    </w:p>
    <w:p>
      <w:pPr>
        <w:widowControl/>
        <w:adjustRightInd/>
        <w:jc w:val="left"/>
        <w:rPr>
          <w:rFonts w:ascii="黑体" w:hAnsi="黑体" w:eastAsia="黑体"/>
          <w:sz w:val="32"/>
          <w:szCs w:val="32"/>
        </w:rPr>
      </w:pPr>
      <w:r>
        <w:rPr>
          <w:rFonts w:ascii="黑体" w:hAnsi="黑体" w:eastAsia="黑体"/>
          <w:sz w:val="32"/>
          <w:szCs w:val="32"/>
        </w:rPr>
        <w:br w:type="page"/>
      </w:r>
      <w:r>
        <w:rPr>
          <w:rFonts w:ascii="黑体" w:hAnsi="黑体" w:eastAsia="黑体"/>
          <w:sz w:val="32"/>
          <w:szCs w:val="32"/>
        </w:rPr>
        <w:t>案例</w:t>
      </w:r>
      <w:r>
        <w:rPr>
          <w:rFonts w:hint="eastAsia" w:ascii="黑体" w:hAnsi="黑体" w:eastAsia="黑体"/>
          <w:sz w:val="32"/>
          <w:szCs w:val="32"/>
        </w:rPr>
        <w:t>19</w:t>
      </w:r>
    </w:p>
    <w:p>
      <w:pPr>
        <w:widowControl/>
        <w:adjustRightInd/>
        <w:jc w:val="left"/>
        <w:rPr>
          <w:rFonts w:ascii="黑体" w:hAnsi="黑体" w:eastAsia="黑体"/>
          <w:sz w:val="32"/>
          <w:szCs w:val="32"/>
        </w:rPr>
      </w:pPr>
    </w:p>
    <w:p>
      <w:pPr>
        <w:keepNext/>
        <w:keepLines/>
        <w:widowControl/>
        <w:spacing w:line="360" w:lineRule="auto"/>
        <w:jc w:val="center"/>
        <w:outlineLvl w:val="0"/>
        <w:rPr>
          <w:rFonts w:ascii="方正小标宋简体" w:eastAsia="方正小标宋简体"/>
          <w:spacing w:val="-8"/>
          <w:kern w:val="44"/>
          <w:sz w:val="36"/>
          <w:szCs w:val="36"/>
        </w:rPr>
      </w:pPr>
      <w:bookmarkStart w:id="45" w:name="_Toc100329464"/>
      <w:r>
        <w:rPr>
          <w:rFonts w:hint="eastAsia" w:ascii="方正小标宋简体" w:eastAsia="方正小标宋简体"/>
          <w:spacing w:val="-8"/>
          <w:kern w:val="44"/>
          <w:sz w:val="36"/>
          <w:szCs w:val="36"/>
        </w:rPr>
        <w:t>显崇公司申请认可香港法院判决案</w:t>
      </w:r>
      <w:bookmarkEnd w:id="45"/>
    </w:p>
    <w:p>
      <w:pPr>
        <w:keepNext/>
        <w:keepLines/>
        <w:widowControl/>
        <w:spacing w:line="360" w:lineRule="auto"/>
        <w:jc w:val="center"/>
        <w:outlineLvl w:val="0"/>
        <w:rPr>
          <w:rFonts w:ascii="楷体_GB2312" w:eastAsia="楷体_GB2312"/>
          <w:kern w:val="44"/>
          <w:sz w:val="32"/>
          <w:szCs w:val="32"/>
        </w:rPr>
      </w:pPr>
      <w:bookmarkStart w:id="46" w:name="_Toc100329465"/>
      <w:r>
        <w:rPr>
          <w:rFonts w:hint="eastAsia" w:ascii="楷体_GB2312" w:eastAsia="楷体_GB2312"/>
          <w:kern w:val="44"/>
          <w:sz w:val="32"/>
          <w:szCs w:val="32"/>
        </w:rPr>
        <w:t>--依法认定香港法院管辖条款的排他性</w:t>
      </w:r>
      <w:bookmarkEnd w:id="46"/>
      <w:r>
        <w:rPr>
          <w:rFonts w:hint="eastAsia" w:ascii="楷体_GB2312" w:eastAsia="楷体_GB2312"/>
          <w:kern w:val="44"/>
          <w:sz w:val="32"/>
          <w:szCs w:val="32"/>
        </w:rPr>
        <w:t>，认可香港法院判决</w:t>
      </w:r>
    </w:p>
    <w:p>
      <w:pPr>
        <w:widowControl/>
        <w:spacing w:line="360" w:lineRule="auto"/>
        <w:ind w:firstLine="640" w:firstLineChars="200"/>
        <w:rPr>
          <w:rFonts w:eastAsia="黑体"/>
          <w:sz w:val="32"/>
          <w:szCs w:val="32"/>
        </w:rPr>
      </w:pPr>
    </w:p>
    <w:p>
      <w:pPr>
        <w:widowControl/>
        <w:spacing w:line="360" w:lineRule="auto"/>
        <w:ind w:firstLine="640" w:firstLineChars="200"/>
        <w:rPr>
          <w:rFonts w:eastAsia="黑体"/>
          <w:sz w:val="32"/>
          <w:szCs w:val="32"/>
        </w:rPr>
      </w:pPr>
      <w:r>
        <w:rPr>
          <w:rFonts w:hint="eastAsia" w:eastAsia="黑体"/>
          <w:sz w:val="32"/>
          <w:szCs w:val="32"/>
        </w:rPr>
        <w:t>基本案情</w:t>
      </w:r>
    </w:p>
    <w:p>
      <w:pPr>
        <w:adjustRightInd/>
        <w:ind w:firstLine="640" w:firstLineChars="200"/>
        <w:rPr>
          <w:rFonts w:eastAsia="仿宋_GB2312"/>
          <w:sz w:val="32"/>
          <w:szCs w:val="32"/>
        </w:rPr>
      </w:pPr>
      <w:r>
        <w:rPr>
          <w:rFonts w:hint="eastAsia" w:eastAsia="仿宋_GB2312"/>
          <w:sz w:val="32"/>
          <w:szCs w:val="32"/>
        </w:rPr>
        <w:t>2018年4月24日，显崇公司与许某阳签订《股份转让协议》，约定显崇公司将目标公司股份转让给许某阳。协议争议解决条款约定，任何一方均可</w:t>
      </w:r>
      <w:r>
        <w:rPr>
          <w:rFonts w:hint="eastAsia" w:eastAsia="仿宋_GB2312"/>
          <w:b/>
          <w:color w:val="FF0000"/>
          <w:sz w:val="32"/>
          <w:szCs w:val="32"/>
        </w:rPr>
        <w:t>就</w:t>
      </w:r>
      <w:r>
        <w:rPr>
          <w:rFonts w:hint="eastAsia" w:eastAsia="仿宋_GB2312"/>
          <w:sz w:val="32"/>
          <w:szCs w:val="32"/>
        </w:rPr>
        <w:t>争议向香港法院起诉。2019年11月15日，显崇公司以未足额支付股权转让款为由向香港法院起诉许某阳。香港法院于2020年3月9日作出案件编号为HCA2117/2019号终局判决书，判令许某阳向显崇公司支付相关款项。显崇公司于2021年1月28日向广州市中级人民法院申请认可上述判决。</w:t>
      </w:r>
    </w:p>
    <w:p>
      <w:pPr>
        <w:widowControl/>
        <w:spacing w:line="360" w:lineRule="auto"/>
        <w:ind w:firstLine="640" w:firstLineChars="200"/>
        <w:rPr>
          <w:rFonts w:eastAsia="黑体"/>
          <w:sz w:val="32"/>
          <w:szCs w:val="32"/>
        </w:rPr>
      </w:pPr>
      <w:r>
        <w:rPr>
          <w:rFonts w:hint="eastAsia" w:eastAsia="黑体"/>
          <w:sz w:val="32"/>
          <w:szCs w:val="32"/>
        </w:rPr>
        <w:t>裁判结果</w:t>
      </w:r>
    </w:p>
    <w:p>
      <w:pPr>
        <w:adjustRightInd/>
        <w:ind w:firstLine="640" w:firstLineChars="200"/>
        <w:rPr>
          <w:rFonts w:eastAsia="仿宋_GB2312"/>
          <w:sz w:val="32"/>
          <w:szCs w:val="32"/>
        </w:rPr>
      </w:pPr>
      <w:r>
        <w:rPr>
          <w:rFonts w:hint="eastAsia" w:eastAsia="仿宋_GB2312"/>
          <w:sz w:val="32"/>
          <w:szCs w:val="32"/>
        </w:rPr>
        <w:t>广州市中级人民法院经审查认为，涉案管辖条款表明在当事人行使诉讼权利时可以向香港法院起诉，且没有表明当事人有权选择香港法院以外的其他法院起诉，故该管辖条款为《最高人民法院关于内地与香港特别行政区法院相互认可和执行当事人协议管辖的民商事案件判决的安排》第三条所规定的香港法院“具有唯一管辖权的协议”。许某阳已经合法传唤，本案不存在安排第九条规定的应当裁定不予认可和执行的情形，显崇公司的申请符合安排的规定，故裁定认可香港法院判决。</w:t>
      </w:r>
    </w:p>
    <w:p>
      <w:pPr>
        <w:adjustRightInd/>
        <w:ind w:firstLine="640" w:firstLineChars="200"/>
        <w:rPr>
          <w:rFonts w:ascii="仿宋" w:hAnsi="仿宋" w:eastAsia="仿宋"/>
          <w:b/>
          <w:sz w:val="32"/>
          <w:szCs w:val="32"/>
        </w:rPr>
      </w:pPr>
      <w:r>
        <w:rPr>
          <w:rFonts w:hint="eastAsia" w:eastAsia="黑体"/>
          <w:sz w:val="32"/>
          <w:szCs w:val="32"/>
        </w:rPr>
        <w:t>典型意义</w:t>
      </w:r>
    </w:p>
    <w:p>
      <w:pPr>
        <w:adjustRightInd/>
        <w:ind w:firstLine="640" w:firstLineChars="200"/>
        <w:rPr>
          <w:rFonts w:eastAsia="仿宋_GB2312"/>
          <w:sz w:val="32"/>
          <w:szCs w:val="32"/>
        </w:rPr>
      </w:pPr>
      <w:r>
        <w:rPr>
          <w:rFonts w:hint="eastAsia" w:eastAsia="仿宋_GB2312"/>
          <w:sz w:val="32"/>
          <w:szCs w:val="32"/>
        </w:rPr>
        <w:t>人民法院依法认定管辖条款的排他性，从而认可香港法院判决效力，促进香港法院判决在内地流通，实现粤港澳大湾区更紧密的司法合作。</w:t>
      </w:r>
    </w:p>
    <w:p>
      <w:pPr>
        <w:snapToGrid w:val="0"/>
        <w:spacing w:line="360" w:lineRule="auto"/>
        <w:jc w:val="center"/>
        <w:rPr>
          <w:rFonts w:ascii="仿宋_GB2312" w:hAnsi="黑体" w:eastAsia="仿宋_GB2312"/>
          <w:sz w:val="32"/>
          <w:szCs w:val="32"/>
        </w:rPr>
      </w:pPr>
    </w:p>
    <w:p>
      <w:pPr>
        <w:widowControl/>
        <w:adjustRightInd/>
        <w:spacing w:line="360" w:lineRule="auto"/>
        <w:jc w:val="left"/>
        <w:rPr>
          <w:rFonts w:ascii="黑体" w:hAnsi="黑体" w:eastAsia="黑体"/>
          <w:sz w:val="32"/>
          <w:szCs w:val="32"/>
        </w:rPr>
      </w:pPr>
      <w:r>
        <w:rPr>
          <w:sz w:val="32"/>
          <w:szCs w:val="32"/>
        </w:rPr>
        <w:br w:type="page"/>
      </w:r>
    </w:p>
    <w:p>
      <w:pPr>
        <w:widowControl/>
        <w:snapToGrid w:val="0"/>
        <w:spacing w:line="360" w:lineRule="auto"/>
        <w:rPr>
          <w:rFonts w:ascii="黑体" w:hAnsi="黑体" w:eastAsia="黑体"/>
          <w:sz w:val="32"/>
          <w:szCs w:val="32"/>
        </w:rPr>
      </w:pPr>
      <w:r>
        <w:rPr>
          <w:rFonts w:ascii="黑体" w:hAnsi="黑体" w:eastAsia="黑体"/>
          <w:sz w:val="32"/>
          <w:szCs w:val="32"/>
        </w:rPr>
        <w:t>案例</w:t>
      </w:r>
      <w:r>
        <w:rPr>
          <w:rFonts w:hint="eastAsia" w:ascii="黑体" w:hAnsi="黑体" w:eastAsia="黑体"/>
          <w:sz w:val="32"/>
          <w:szCs w:val="32"/>
        </w:rPr>
        <w:t>20</w:t>
      </w:r>
    </w:p>
    <w:p>
      <w:pPr>
        <w:widowControl/>
        <w:snapToGrid w:val="0"/>
        <w:spacing w:line="360" w:lineRule="auto"/>
        <w:rPr>
          <w:rFonts w:ascii="宋体" w:hAnsi="宋体"/>
          <w:sz w:val="32"/>
          <w:szCs w:val="32"/>
        </w:rPr>
      </w:pPr>
    </w:p>
    <w:p>
      <w:pPr>
        <w:keepNext/>
        <w:keepLines/>
        <w:widowControl/>
        <w:snapToGrid w:val="0"/>
        <w:spacing w:line="360" w:lineRule="auto"/>
        <w:jc w:val="center"/>
        <w:outlineLvl w:val="0"/>
        <w:rPr>
          <w:rFonts w:ascii="方正小标宋简体" w:eastAsia="方正小标宋简体"/>
          <w:kern w:val="44"/>
          <w:sz w:val="36"/>
          <w:szCs w:val="36"/>
        </w:rPr>
      </w:pPr>
      <w:bookmarkStart w:id="47" w:name="_Toc101189380"/>
      <w:r>
        <w:rPr>
          <w:rFonts w:hint="eastAsia" w:ascii="方正小标宋简体" w:eastAsia="方正小标宋简体"/>
          <w:kern w:val="44"/>
          <w:sz w:val="36"/>
          <w:szCs w:val="36"/>
        </w:rPr>
        <w:t>德美公司诉光启公司仲裁程序中的财产保全</w:t>
      </w:r>
      <w:bookmarkEnd w:id="47"/>
    </w:p>
    <w:p>
      <w:pPr>
        <w:keepNext/>
        <w:keepLines/>
        <w:widowControl/>
        <w:snapToGrid w:val="0"/>
        <w:spacing w:line="360" w:lineRule="auto"/>
        <w:jc w:val="center"/>
        <w:outlineLvl w:val="0"/>
        <w:rPr>
          <w:rFonts w:ascii="楷体_GB2312" w:eastAsia="楷体_GB2312"/>
          <w:kern w:val="44"/>
          <w:sz w:val="32"/>
          <w:szCs w:val="32"/>
        </w:rPr>
      </w:pPr>
      <w:bookmarkStart w:id="48" w:name="_Toc101189381"/>
      <w:r>
        <w:rPr>
          <w:rFonts w:hint="eastAsia" w:ascii="楷体_GB2312" w:eastAsia="楷体_GB2312"/>
          <w:kern w:val="44"/>
          <w:sz w:val="32"/>
          <w:szCs w:val="32"/>
        </w:rPr>
        <w:t>——履行内地与香港仲裁保全安排，探索司法协助新机制</w:t>
      </w:r>
      <w:bookmarkEnd w:id="48"/>
    </w:p>
    <w:p>
      <w:pPr>
        <w:snapToGrid w:val="0"/>
        <w:spacing w:line="360" w:lineRule="auto"/>
        <w:ind w:firstLine="640" w:firstLineChars="200"/>
        <w:rPr>
          <w:rFonts w:hAnsi="黑体" w:eastAsia="黑体"/>
          <w:sz w:val="32"/>
          <w:szCs w:val="32"/>
        </w:rPr>
      </w:pPr>
    </w:p>
    <w:p>
      <w:pPr>
        <w:widowControl/>
        <w:snapToGrid w:val="0"/>
        <w:spacing w:line="360" w:lineRule="auto"/>
        <w:ind w:firstLine="640" w:firstLineChars="200"/>
        <w:rPr>
          <w:rFonts w:eastAsia="黑体"/>
          <w:sz w:val="32"/>
          <w:szCs w:val="32"/>
        </w:rPr>
      </w:pPr>
      <w:r>
        <w:rPr>
          <w:rFonts w:eastAsia="黑体"/>
          <w:sz w:val="32"/>
          <w:szCs w:val="32"/>
        </w:rPr>
        <w:t>基本案情</w:t>
      </w:r>
    </w:p>
    <w:p>
      <w:pPr>
        <w:widowControl/>
        <w:snapToGrid w:val="0"/>
        <w:spacing w:line="360" w:lineRule="auto"/>
        <w:ind w:firstLine="640" w:firstLineChars="200"/>
        <w:rPr>
          <w:rFonts w:eastAsia="仿宋_GB2312"/>
          <w:sz w:val="32"/>
          <w:szCs w:val="32"/>
        </w:rPr>
      </w:pPr>
      <w:r>
        <w:rPr>
          <w:rFonts w:hint="eastAsia" w:eastAsia="仿宋_GB2312"/>
          <w:sz w:val="32"/>
          <w:szCs w:val="32"/>
        </w:rPr>
        <w:t>德美企业有限公司于2020年4月28日向香港国际仲裁中心申请仲裁，请求深圳光启合众科技有限公司等支付股权转让款折合人民币78,672,248.2元。因仲裁受疫情影响延期，为防止光启公司转移财产，德美公司请求采取财产保全措施，查封光启公司持有的其他公司股权。2020年5月11日，香港国际仲裁中心将德美公司的保全申请书等材料提交至深圳市中级人民法院。</w:t>
      </w:r>
    </w:p>
    <w:p>
      <w:pPr>
        <w:widowControl/>
        <w:snapToGrid w:val="0"/>
        <w:spacing w:line="360" w:lineRule="auto"/>
        <w:ind w:firstLine="640" w:firstLineChars="200"/>
        <w:rPr>
          <w:rFonts w:eastAsia="黑体"/>
          <w:sz w:val="32"/>
          <w:szCs w:val="32"/>
        </w:rPr>
      </w:pPr>
      <w:r>
        <w:rPr>
          <w:rFonts w:eastAsia="黑体"/>
          <w:sz w:val="32"/>
          <w:szCs w:val="32"/>
        </w:rPr>
        <w:t>裁判结果</w:t>
      </w:r>
    </w:p>
    <w:p>
      <w:pPr>
        <w:widowControl/>
        <w:snapToGrid w:val="0"/>
        <w:spacing w:line="360" w:lineRule="auto"/>
        <w:ind w:firstLine="640" w:firstLineChars="200"/>
        <w:rPr>
          <w:rFonts w:eastAsia="仿宋_GB2312"/>
          <w:sz w:val="32"/>
          <w:szCs w:val="32"/>
        </w:rPr>
      </w:pPr>
      <w:r>
        <w:rPr>
          <w:rFonts w:hint="eastAsia" w:eastAsia="仿宋_GB2312"/>
          <w:sz w:val="32"/>
          <w:szCs w:val="32"/>
        </w:rPr>
        <w:t>深圳市中级人民法院审查认为，德美公司请求查封的光启公司持有的股权已被质押，且光启公司已涉其他诉讼，属于《关于内地与香港特别行政区法院就仲裁程序相互协助保全的安排》第五条第三项“情况紧急，不立即保全将会使申请人合法权益受到难以弥补的损害或者使仲裁裁决难以执行”的情形。故裁定冻结光启公司持有的其他公司股权，价值以人民币78,672,248.20元为限。征得德美公司同意，深圳市中级人民法院委托香港国际仲裁中心向德美公司转交了民事裁定书。</w:t>
      </w:r>
    </w:p>
    <w:p>
      <w:pPr>
        <w:widowControl/>
        <w:snapToGrid w:val="0"/>
        <w:spacing w:line="360" w:lineRule="auto"/>
        <w:ind w:firstLine="640" w:firstLineChars="200"/>
        <w:rPr>
          <w:rFonts w:eastAsia="黑体"/>
          <w:sz w:val="32"/>
          <w:szCs w:val="32"/>
        </w:rPr>
      </w:pPr>
      <w:r>
        <w:rPr>
          <w:rFonts w:eastAsia="黑体"/>
          <w:sz w:val="32"/>
          <w:szCs w:val="32"/>
        </w:rPr>
        <w:t>典型意义</w:t>
      </w:r>
    </w:p>
    <w:p>
      <w:pPr>
        <w:widowControl/>
        <w:snapToGrid w:val="0"/>
        <w:spacing w:line="360" w:lineRule="auto"/>
        <w:ind w:firstLine="640" w:firstLineChars="200"/>
        <w:rPr>
          <w:b/>
          <w:sz w:val="44"/>
          <w:szCs w:val="44"/>
        </w:rPr>
      </w:pPr>
      <w:r>
        <w:rPr>
          <w:rFonts w:hint="eastAsia" w:eastAsia="仿宋_GB2312"/>
          <w:sz w:val="32"/>
          <w:szCs w:val="32"/>
        </w:rPr>
        <w:t>人民法院适用</w:t>
      </w:r>
      <w:r>
        <w:rPr>
          <w:rFonts w:eastAsia="仿宋_GB2312"/>
          <w:sz w:val="32"/>
          <w:szCs w:val="32"/>
        </w:rPr>
        <w:t>《仲裁保全安排》</w:t>
      </w:r>
      <w:r>
        <w:rPr>
          <w:rFonts w:hint="eastAsia" w:eastAsia="仿宋_GB2312"/>
          <w:sz w:val="32"/>
          <w:szCs w:val="32"/>
        </w:rPr>
        <w:t>，</w:t>
      </w:r>
      <w:r>
        <w:rPr>
          <w:rFonts w:eastAsia="仿宋_GB2312"/>
          <w:sz w:val="32"/>
          <w:szCs w:val="32"/>
        </w:rPr>
        <w:t>准许香港仲裁程序中</w:t>
      </w:r>
      <w:r>
        <w:rPr>
          <w:rFonts w:hint="eastAsia" w:eastAsia="仿宋_GB2312"/>
          <w:sz w:val="32"/>
          <w:szCs w:val="32"/>
        </w:rPr>
        <w:t>当事人的</w:t>
      </w:r>
      <w:r>
        <w:rPr>
          <w:rFonts w:eastAsia="仿宋_GB2312"/>
          <w:sz w:val="32"/>
          <w:szCs w:val="32"/>
        </w:rPr>
        <w:t>财产保全申请</w:t>
      </w:r>
      <w:r>
        <w:rPr>
          <w:rFonts w:hint="eastAsia" w:eastAsia="仿宋_GB2312"/>
          <w:sz w:val="32"/>
          <w:szCs w:val="32"/>
        </w:rPr>
        <w:t>，并尝试在当事人同意的情况下，由香港仲裁机构在香港向当事人转交内地法律文书，拓宽司法协助新路径。</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106</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ZWIxNGQ3ZmI2ZWYxMTU5ODJkMzI4YjhiZjk4ZmEifQ=="/>
  </w:docVars>
  <w:rsids>
    <w:rsidRoot w:val="00D22536"/>
    <w:rsid w:val="000055CC"/>
    <w:rsid w:val="000056FB"/>
    <w:rsid w:val="000161A4"/>
    <w:rsid w:val="00027545"/>
    <w:rsid w:val="00030EC7"/>
    <w:rsid w:val="00032444"/>
    <w:rsid w:val="00037AC8"/>
    <w:rsid w:val="000418F8"/>
    <w:rsid w:val="00050A88"/>
    <w:rsid w:val="000538C9"/>
    <w:rsid w:val="000558E4"/>
    <w:rsid w:val="00056FCE"/>
    <w:rsid w:val="00062302"/>
    <w:rsid w:val="0006575A"/>
    <w:rsid w:val="00071291"/>
    <w:rsid w:val="00071863"/>
    <w:rsid w:val="000730ED"/>
    <w:rsid w:val="00075993"/>
    <w:rsid w:val="000771DC"/>
    <w:rsid w:val="00077A96"/>
    <w:rsid w:val="000800E2"/>
    <w:rsid w:val="0008045C"/>
    <w:rsid w:val="000805FD"/>
    <w:rsid w:val="00081312"/>
    <w:rsid w:val="00084E39"/>
    <w:rsid w:val="00087749"/>
    <w:rsid w:val="00096592"/>
    <w:rsid w:val="00097D65"/>
    <w:rsid w:val="000B1DEB"/>
    <w:rsid w:val="000B2B73"/>
    <w:rsid w:val="000B4E18"/>
    <w:rsid w:val="000B7EB3"/>
    <w:rsid w:val="000C12C8"/>
    <w:rsid w:val="000C29ED"/>
    <w:rsid w:val="000D6299"/>
    <w:rsid w:val="000D69D0"/>
    <w:rsid w:val="000E2EC2"/>
    <w:rsid w:val="000E7A22"/>
    <w:rsid w:val="000F1CC1"/>
    <w:rsid w:val="000F2FA2"/>
    <w:rsid w:val="000F3F84"/>
    <w:rsid w:val="000F55EA"/>
    <w:rsid w:val="0010229C"/>
    <w:rsid w:val="001027E3"/>
    <w:rsid w:val="00102E59"/>
    <w:rsid w:val="00105C03"/>
    <w:rsid w:val="00110BAA"/>
    <w:rsid w:val="00112352"/>
    <w:rsid w:val="00117BC0"/>
    <w:rsid w:val="001222C0"/>
    <w:rsid w:val="00135617"/>
    <w:rsid w:val="00137894"/>
    <w:rsid w:val="00141E35"/>
    <w:rsid w:val="001427D9"/>
    <w:rsid w:val="001442AD"/>
    <w:rsid w:val="0014440B"/>
    <w:rsid w:val="00144C05"/>
    <w:rsid w:val="00153744"/>
    <w:rsid w:val="00154124"/>
    <w:rsid w:val="00154307"/>
    <w:rsid w:val="00154876"/>
    <w:rsid w:val="00154E49"/>
    <w:rsid w:val="00160D74"/>
    <w:rsid w:val="00162501"/>
    <w:rsid w:val="00165D16"/>
    <w:rsid w:val="00171C62"/>
    <w:rsid w:val="00173468"/>
    <w:rsid w:val="00180645"/>
    <w:rsid w:val="00182F58"/>
    <w:rsid w:val="00187E9C"/>
    <w:rsid w:val="00190368"/>
    <w:rsid w:val="00191E07"/>
    <w:rsid w:val="001A447B"/>
    <w:rsid w:val="001B4DFB"/>
    <w:rsid w:val="001B70B8"/>
    <w:rsid w:val="001C09F5"/>
    <w:rsid w:val="001C115A"/>
    <w:rsid w:val="001C3B13"/>
    <w:rsid w:val="001C6FB2"/>
    <w:rsid w:val="001E1B84"/>
    <w:rsid w:val="001E3623"/>
    <w:rsid w:val="001E575B"/>
    <w:rsid w:val="001F0803"/>
    <w:rsid w:val="001F0BCD"/>
    <w:rsid w:val="001F3108"/>
    <w:rsid w:val="001F5135"/>
    <w:rsid w:val="00201D86"/>
    <w:rsid w:val="0020641C"/>
    <w:rsid w:val="00207349"/>
    <w:rsid w:val="00213CA5"/>
    <w:rsid w:val="00214786"/>
    <w:rsid w:val="00216E54"/>
    <w:rsid w:val="00220E53"/>
    <w:rsid w:val="002234B7"/>
    <w:rsid w:val="00224F38"/>
    <w:rsid w:val="002254C0"/>
    <w:rsid w:val="00227C4C"/>
    <w:rsid w:val="0023237B"/>
    <w:rsid w:val="00232F54"/>
    <w:rsid w:val="00241377"/>
    <w:rsid w:val="00241BBC"/>
    <w:rsid w:val="002439D5"/>
    <w:rsid w:val="0024435D"/>
    <w:rsid w:val="002538FC"/>
    <w:rsid w:val="00253AE4"/>
    <w:rsid w:val="002577C2"/>
    <w:rsid w:val="00261376"/>
    <w:rsid w:val="00262898"/>
    <w:rsid w:val="00263D2A"/>
    <w:rsid w:val="0026640A"/>
    <w:rsid w:val="00267970"/>
    <w:rsid w:val="00273E54"/>
    <w:rsid w:val="0028014B"/>
    <w:rsid w:val="00290860"/>
    <w:rsid w:val="002928A5"/>
    <w:rsid w:val="00292BEC"/>
    <w:rsid w:val="0029451A"/>
    <w:rsid w:val="00296089"/>
    <w:rsid w:val="002A1427"/>
    <w:rsid w:val="002A6C52"/>
    <w:rsid w:val="002B1AE6"/>
    <w:rsid w:val="002B2A1C"/>
    <w:rsid w:val="002B52E0"/>
    <w:rsid w:val="002B54B6"/>
    <w:rsid w:val="002B6700"/>
    <w:rsid w:val="002B6F18"/>
    <w:rsid w:val="002C17C4"/>
    <w:rsid w:val="002C1D5B"/>
    <w:rsid w:val="002C32A4"/>
    <w:rsid w:val="002C4E70"/>
    <w:rsid w:val="002C69FD"/>
    <w:rsid w:val="002D0A94"/>
    <w:rsid w:val="002D12C5"/>
    <w:rsid w:val="002D3795"/>
    <w:rsid w:val="002D4361"/>
    <w:rsid w:val="002D6C0A"/>
    <w:rsid w:val="002F039E"/>
    <w:rsid w:val="002F1A22"/>
    <w:rsid w:val="00300710"/>
    <w:rsid w:val="00301189"/>
    <w:rsid w:val="00301BCD"/>
    <w:rsid w:val="0030360A"/>
    <w:rsid w:val="00306736"/>
    <w:rsid w:val="00322BC1"/>
    <w:rsid w:val="00323D7E"/>
    <w:rsid w:val="003241ED"/>
    <w:rsid w:val="00324BF2"/>
    <w:rsid w:val="00325100"/>
    <w:rsid w:val="00325A76"/>
    <w:rsid w:val="0033218E"/>
    <w:rsid w:val="003330FA"/>
    <w:rsid w:val="00333C28"/>
    <w:rsid w:val="0034589F"/>
    <w:rsid w:val="003466D9"/>
    <w:rsid w:val="0034705F"/>
    <w:rsid w:val="00350437"/>
    <w:rsid w:val="003520B4"/>
    <w:rsid w:val="00352DE6"/>
    <w:rsid w:val="00354721"/>
    <w:rsid w:val="00355ED3"/>
    <w:rsid w:val="00355F26"/>
    <w:rsid w:val="0035745F"/>
    <w:rsid w:val="00362DFD"/>
    <w:rsid w:val="0036637E"/>
    <w:rsid w:val="003710F5"/>
    <w:rsid w:val="00371EAD"/>
    <w:rsid w:val="00373512"/>
    <w:rsid w:val="00374323"/>
    <w:rsid w:val="00377AC1"/>
    <w:rsid w:val="0038079D"/>
    <w:rsid w:val="00382AAD"/>
    <w:rsid w:val="0038780A"/>
    <w:rsid w:val="00390157"/>
    <w:rsid w:val="00392286"/>
    <w:rsid w:val="00394116"/>
    <w:rsid w:val="003954F9"/>
    <w:rsid w:val="00395A69"/>
    <w:rsid w:val="003969CC"/>
    <w:rsid w:val="003A490B"/>
    <w:rsid w:val="003A57BC"/>
    <w:rsid w:val="003A5EC3"/>
    <w:rsid w:val="003A63C6"/>
    <w:rsid w:val="003A781B"/>
    <w:rsid w:val="003B1AD5"/>
    <w:rsid w:val="003C0EAB"/>
    <w:rsid w:val="003C2F18"/>
    <w:rsid w:val="003C43F8"/>
    <w:rsid w:val="003C5713"/>
    <w:rsid w:val="003C5EEB"/>
    <w:rsid w:val="003C730D"/>
    <w:rsid w:val="003C77C9"/>
    <w:rsid w:val="003D49FC"/>
    <w:rsid w:val="003E056B"/>
    <w:rsid w:val="003E07E7"/>
    <w:rsid w:val="003E2BAB"/>
    <w:rsid w:val="003E48EA"/>
    <w:rsid w:val="003F0FA0"/>
    <w:rsid w:val="003F3DB9"/>
    <w:rsid w:val="003F7CA5"/>
    <w:rsid w:val="00402C8E"/>
    <w:rsid w:val="00402F66"/>
    <w:rsid w:val="004044D9"/>
    <w:rsid w:val="00405D39"/>
    <w:rsid w:val="00410435"/>
    <w:rsid w:val="004143D9"/>
    <w:rsid w:val="00426159"/>
    <w:rsid w:val="00426A72"/>
    <w:rsid w:val="0042792D"/>
    <w:rsid w:val="0044272B"/>
    <w:rsid w:val="004462DB"/>
    <w:rsid w:val="00447DBC"/>
    <w:rsid w:val="004500E3"/>
    <w:rsid w:val="00450F86"/>
    <w:rsid w:val="00451998"/>
    <w:rsid w:val="00456D84"/>
    <w:rsid w:val="00465AB0"/>
    <w:rsid w:val="00473BAD"/>
    <w:rsid w:val="0047626D"/>
    <w:rsid w:val="00477246"/>
    <w:rsid w:val="0047799A"/>
    <w:rsid w:val="00480CCC"/>
    <w:rsid w:val="00483F2D"/>
    <w:rsid w:val="00486829"/>
    <w:rsid w:val="00490351"/>
    <w:rsid w:val="00492D15"/>
    <w:rsid w:val="004945D3"/>
    <w:rsid w:val="00496ECB"/>
    <w:rsid w:val="004A780A"/>
    <w:rsid w:val="004B20BA"/>
    <w:rsid w:val="004B22F0"/>
    <w:rsid w:val="004B3227"/>
    <w:rsid w:val="004B3E46"/>
    <w:rsid w:val="004C05C5"/>
    <w:rsid w:val="004C0685"/>
    <w:rsid w:val="004C29EF"/>
    <w:rsid w:val="004C3198"/>
    <w:rsid w:val="004C4004"/>
    <w:rsid w:val="004C4C72"/>
    <w:rsid w:val="004C54F9"/>
    <w:rsid w:val="004C5D13"/>
    <w:rsid w:val="004C7429"/>
    <w:rsid w:val="004D1DEB"/>
    <w:rsid w:val="004D315F"/>
    <w:rsid w:val="004D3342"/>
    <w:rsid w:val="004D615D"/>
    <w:rsid w:val="004E299C"/>
    <w:rsid w:val="004E45BB"/>
    <w:rsid w:val="004E6E4E"/>
    <w:rsid w:val="004F09E0"/>
    <w:rsid w:val="004F0E4E"/>
    <w:rsid w:val="004F16A7"/>
    <w:rsid w:val="004F20B9"/>
    <w:rsid w:val="004F230E"/>
    <w:rsid w:val="004F343B"/>
    <w:rsid w:val="004F54C2"/>
    <w:rsid w:val="00502076"/>
    <w:rsid w:val="00513F2D"/>
    <w:rsid w:val="00515758"/>
    <w:rsid w:val="005164A7"/>
    <w:rsid w:val="005320D3"/>
    <w:rsid w:val="0053542E"/>
    <w:rsid w:val="0053778B"/>
    <w:rsid w:val="0054171C"/>
    <w:rsid w:val="00542D2D"/>
    <w:rsid w:val="00546AC5"/>
    <w:rsid w:val="00557784"/>
    <w:rsid w:val="005646FD"/>
    <w:rsid w:val="005652C9"/>
    <w:rsid w:val="005653CE"/>
    <w:rsid w:val="005673B7"/>
    <w:rsid w:val="00567F6D"/>
    <w:rsid w:val="0057388D"/>
    <w:rsid w:val="00577A2A"/>
    <w:rsid w:val="00585007"/>
    <w:rsid w:val="00585E5E"/>
    <w:rsid w:val="005914B2"/>
    <w:rsid w:val="0059296B"/>
    <w:rsid w:val="00594E40"/>
    <w:rsid w:val="005A3421"/>
    <w:rsid w:val="005B0996"/>
    <w:rsid w:val="005B12DB"/>
    <w:rsid w:val="005B314C"/>
    <w:rsid w:val="005B3ECE"/>
    <w:rsid w:val="005B464F"/>
    <w:rsid w:val="005C2297"/>
    <w:rsid w:val="005C3C41"/>
    <w:rsid w:val="005C3DC3"/>
    <w:rsid w:val="005C79FC"/>
    <w:rsid w:val="005D0424"/>
    <w:rsid w:val="005D4C21"/>
    <w:rsid w:val="005D68D5"/>
    <w:rsid w:val="005F31DA"/>
    <w:rsid w:val="005F4219"/>
    <w:rsid w:val="005F6513"/>
    <w:rsid w:val="005F69DA"/>
    <w:rsid w:val="00604141"/>
    <w:rsid w:val="00605518"/>
    <w:rsid w:val="00611455"/>
    <w:rsid w:val="006129EA"/>
    <w:rsid w:val="0061376E"/>
    <w:rsid w:val="006151C0"/>
    <w:rsid w:val="00615B05"/>
    <w:rsid w:val="006210B9"/>
    <w:rsid w:val="00625F63"/>
    <w:rsid w:val="006278D4"/>
    <w:rsid w:val="00631ADD"/>
    <w:rsid w:val="00634AAE"/>
    <w:rsid w:val="00650A9F"/>
    <w:rsid w:val="0065350F"/>
    <w:rsid w:val="00664D9C"/>
    <w:rsid w:val="00666E0C"/>
    <w:rsid w:val="00667A81"/>
    <w:rsid w:val="00667CBE"/>
    <w:rsid w:val="0067178B"/>
    <w:rsid w:val="0068504D"/>
    <w:rsid w:val="00692CA1"/>
    <w:rsid w:val="006944EF"/>
    <w:rsid w:val="00696E9C"/>
    <w:rsid w:val="00697564"/>
    <w:rsid w:val="00697CFB"/>
    <w:rsid w:val="006A1440"/>
    <w:rsid w:val="006A2BA1"/>
    <w:rsid w:val="006A6493"/>
    <w:rsid w:val="006B0BA0"/>
    <w:rsid w:val="006B171F"/>
    <w:rsid w:val="006B1B74"/>
    <w:rsid w:val="006B34B6"/>
    <w:rsid w:val="006B74CE"/>
    <w:rsid w:val="006B7D2E"/>
    <w:rsid w:val="006C0FD8"/>
    <w:rsid w:val="006C6F33"/>
    <w:rsid w:val="006D1D5E"/>
    <w:rsid w:val="006D4730"/>
    <w:rsid w:val="006D4BB4"/>
    <w:rsid w:val="006D4FF3"/>
    <w:rsid w:val="006D5BE7"/>
    <w:rsid w:val="006D7D30"/>
    <w:rsid w:val="006E41BF"/>
    <w:rsid w:val="006E7E27"/>
    <w:rsid w:val="006F275C"/>
    <w:rsid w:val="007018EC"/>
    <w:rsid w:val="00701D5D"/>
    <w:rsid w:val="00702E81"/>
    <w:rsid w:val="00703232"/>
    <w:rsid w:val="00704737"/>
    <w:rsid w:val="00706339"/>
    <w:rsid w:val="00707300"/>
    <w:rsid w:val="00711400"/>
    <w:rsid w:val="0071256C"/>
    <w:rsid w:val="00721D5C"/>
    <w:rsid w:val="00723349"/>
    <w:rsid w:val="00733D0A"/>
    <w:rsid w:val="00733ED3"/>
    <w:rsid w:val="00743A80"/>
    <w:rsid w:val="007461CC"/>
    <w:rsid w:val="007470DE"/>
    <w:rsid w:val="00751210"/>
    <w:rsid w:val="00753DC4"/>
    <w:rsid w:val="00760495"/>
    <w:rsid w:val="00760AE8"/>
    <w:rsid w:val="00761279"/>
    <w:rsid w:val="00762A77"/>
    <w:rsid w:val="00765133"/>
    <w:rsid w:val="00770426"/>
    <w:rsid w:val="00772175"/>
    <w:rsid w:val="007733D1"/>
    <w:rsid w:val="00774BCF"/>
    <w:rsid w:val="00775F78"/>
    <w:rsid w:val="00781C43"/>
    <w:rsid w:val="00787A15"/>
    <w:rsid w:val="00787BA5"/>
    <w:rsid w:val="00787C0E"/>
    <w:rsid w:val="007953B9"/>
    <w:rsid w:val="00797288"/>
    <w:rsid w:val="007A04F3"/>
    <w:rsid w:val="007A54A3"/>
    <w:rsid w:val="007A7C0D"/>
    <w:rsid w:val="007B2E5D"/>
    <w:rsid w:val="007B3658"/>
    <w:rsid w:val="007B4B23"/>
    <w:rsid w:val="007B72FA"/>
    <w:rsid w:val="007C08EF"/>
    <w:rsid w:val="007C2D98"/>
    <w:rsid w:val="007C347A"/>
    <w:rsid w:val="007C5D65"/>
    <w:rsid w:val="007D08FC"/>
    <w:rsid w:val="007D17C3"/>
    <w:rsid w:val="007D1BC0"/>
    <w:rsid w:val="007D6469"/>
    <w:rsid w:val="007D7EB5"/>
    <w:rsid w:val="007E30D3"/>
    <w:rsid w:val="007E5F3C"/>
    <w:rsid w:val="007E6BD3"/>
    <w:rsid w:val="007F1011"/>
    <w:rsid w:val="007F6FE5"/>
    <w:rsid w:val="00800532"/>
    <w:rsid w:val="00800867"/>
    <w:rsid w:val="00800FAF"/>
    <w:rsid w:val="00802F4A"/>
    <w:rsid w:val="008031D7"/>
    <w:rsid w:val="00804C4B"/>
    <w:rsid w:val="00814F35"/>
    <w:rsid w:val="00815DEE"/>
    <w:rsid w:val="00821ED5"/>
    <w:rsid w:val="008234FB"/>
    <w:rsid w:val="008238A3"/>
    <w:rsid w:val="00830F3B"/>
    <w:rsid w:val="00834149"/>
    <w:rsid w:val="00834C4A"/>
    <w:rsid w:val="00845B29"/>
    <w:rsid w:val="00846714"/>
    <w:rsid w:val="00854BCD"/>
    <w:rsid w:val="00862B54"/>
    <w:rsid w:val="0087293C"/>
    <w:rsid w:val="008734DA"/>
    <w:rsid w:val="008800C2"/>
    <w:rsid w:val="00882810"/>
    <w:rsid w:val="00882A41"/>
    <w:rsid w:val="0088501F"/>
    <w:rsid w:val="00896D43"/>
    <w:rsid w:val="008A2331"/>
    <w:rsid w:val="008A5AF3"/>
    <w:rsid w:val="008B0655"/>
    <w:rsid w:val="008B14D8"/>
    <w:rsid w:val="008B1A4D"/>
    <w:rsid w:val="008B3E6E"/>
    <w:rsid w:val="008B7A00"/>
    <w:rsid w:val="008C0540"/>
    <w:rsid w:val="008D221E"/>
    <w:rsid w:val="008D4C6E"/>
    <w:rsid w:val="008D5234"/>
    <w:rsid w:val="008D5ED2"/>
    <w:rsid w:val="008D6709"/>
    <w:rsid w:val="008E0363"/>
    <w:rsid w:val="008E61A6"/>
    <w:rsid w:val="008F11C7"/>
    <w:rsid w:val="008F20FC"/>
    <w:rsid w:val="008F3C7A"/>
    <w:rsid w:val="008F71A1"/>
    <w:rsid w:val="008F7F81"/>
    <w:rsid w:val="00900BB9"/>
    <w:rsid w:val="00904D11"/>
    <w:rsid w:val="009076C8"/>
    <w:rsid w:val="00907879"/>
    <w:rsid w:val="009123F6"/>
    <w:rsid w:val="00915AC7"/>
    <w:rsid w:val="009160BD"/>
    <w:rsid w:val="0091637E"/>
    <w:rsid w:val="009164BF"/>
    <w:rsid w:val="009165C1"/>
    <w:rsid w:val="00920CFB"/>
    <w:rsid w:val="0092243E"/>
    <w:rsid w:val="00922C0E"/>
    <w:rsid w:val="00922F5F"/>
    <w:rsid w:val="0092463A"/>
    <w:rsid w:val="00927F56"/>
    <w:rsid w:val="00931268"/>
    <w:rsid w:val="0093589B"/>
    <w:rsid w:val="00937394"/>
    <w:rsid w:val="00941A69"/>
    <w:rsid w:val="00950175"/>
    <w:rsid w:val="00950F18"/>
    <w:rsid w:val="0095301D"/>
    <w:rsid w:val="0095597F"/>
    <w:rsid w:val="00957B05"/>
    <w:rsid w:val="00964B6B"/>
    <w:rsid w:val="009656F9"/>
    <w:rsid w:val="00966DE7"/>
    <w:rsid w:val="0097152E"/>
    <w:rsid w:val="009739D7"/>
    <w:rsid w:val="00976DF7"/>
    <w:rsid w:val="009803A2"/>
    <w:rsid w:val="00981186"/>
    <w:rsid w:val="0098778F"/>
    <w:rsid w:val="00987DFE"/>
    <w:rsid w:val="00991E05"/>
    <w:rsid w:val="00995274"/>
    <w:rsid w:val="009A1E10"/>
    <w:rsid w:val="009A48F4"/>
    <w:rsid w:val="009B0834"/>
    <w:rsid w:val="009B25E4"/>
    <w:rsid w:val="009B34E9"/>
    <w:rsid w:val="009C3FB2"/>
    <w:rsid w:val="009D02D9"/>
    <w:rsid w:val="009D3DC6"/>
    <w:rsid w:val="009D44E3"/>
    <w:rsid w:val="009D506C"/>
    <w:rsid w:val="009E505F"/>
    <w:rsid w:val="009F3F9D"/>
    <w:rsid w:val="00A0218F"/>
    <w:rsid w:val="00A02788"/>
    <w:rsid w:val="00A054E6"/>
    <w:rsid w:val="00A07695"/>
    <w:rsid w:val="00A11E6E"/>
    <w:rsid w:val="00A16E28"/>
    <w:rsid w:val="00A22885"/>
    <w:rsid w:val="00A22DD5"/>
    <w:rsid w:val="00A233D0"/>
    <w:rsid w:val="00A24140"/>
    <w:rsid w:val="00A24331"/>
    <w:rsid w:val="00A259E1"/>
    <w:rsid w:val="00A3276F"/>
    <w:rsid w:val="00A36F02"/>
    <w:rsid w:val="00A41836"/>
    <w:rsid w:val="00A42B6D"/>
    <w:rsid w:val="00A47CDD"/>
    <w:rsid w:val="00A50D64"/>
    <w:rsid w:val="00A54DF3"/>
    <w:rsid w:val="00A56396"/>
    <w:rsid w:val="00A6288C"/>
    <w:rsid w:val="00A639B3"/>
    <w:rsid w:val="00A649E1"/>
    <w:rsid w:val="00A6598A"/>
    <w:rsid w:val="00A66AFF"/>
    <w:rsid w:val="00A73A8B"/>
    <w:rsid w:val="00A82D89"/>
    <w:rsid w:val="00A875DC"/>
    <w:rsid w:val="00A8786C"/>
    <w:rsid w:val="00A906B9"/>
    <w:rsid w:val="00AA2DCE"/>
    <w:rsid w:val="00AA52CF"/>
    <w:rsid w:val="00AA58B1"/>
    <w:rsid w:val="00AB0AB0"/>
    <w:rsid w:val="00AB38D5"/>
    <w:rsid w:val="00AC0AB8"/>
    <w:rsid w:val="00AC3FF5"/>
    <w:rsid w:val="00AD09F1"/>
    <w:rsid w:val="00AE06E5"/>
    <w:rsid w:val="00AE156F"/>
    <w:rsid w:val="00AE34C7"/>
    <w:rsid w:val="00AF0B19"/>
    <w:rsid w:val="00AF6C5E"/>
    <w:rsid w:val="00B009FD"/>
    <w:rsid w:val="00B014F7"/>
    <w:rsid w:val="00B02D0E"/>
    <w:rsid w:val="00B031B4"/>
    <w:rsid w:val="00B03DFB"/>
    <w:rsid w:val="00B066B7"/>
    <w:rsid w:val="00B145FB"/>
    <w:rsid w:val="00B14B8C"/>
    <w:rsid w:val="00B14BF8"/>
    <w:rsid w:val="00B152A7"/>
    <w:rsid w:val="00B20C7B"/>
    <w:rsid w:val="00B2429E"/>
    <w:rsid w:val="00B24632"/>
    <w:rsid w:val="00B25926"/>
    <w:rsid w:val="00B30422"/>
    <w:rsid w:val="00B36973"/>
    <w:rsid w:val="00B409EA"/>
    <w:rsid w:val="00B419B2"/>
    <w:rsid w:val="00B4257B"/>
    <w:rsid w:val="00B42F1D"/>
    <w:rsid w:val="00B43916"/>
    <w:rsid w:val="00B43BAF"/>
    <w:rsid w:val="00B44844"/>
    <w:rsid w:val="00B453E2"/>
    <w:rsid w:val="00B505A7"/>
    <w:rsid w:val="00B5269D"/>
    <w:rsid w:val="00B72066"/>
    <w:rsid w:val="00B732A5"/>
    <w:rsid w:val="00B75125"/>
    <w:rsid w:val="00B75D00"/>
    <w:rsid w:val="00B7681F"/>
    <w:rsid w:val="00B8024F"/>
    <w:rsid w:val="00B8479D"/>
    <w:rsid w:val="00B84AB9"/>
    <w:rsid w:val="00B86B07"/>
    <w:rsid w:val="00B9161D"/>
    <w:rsid w:val="00B93256"/>
    <w:rsid w:val="00BA596D"/>
    <w:rsid w:val="00BA5B1C"/>
    <w:rsid w:val="00BA73DD"/>
    <w:rsid w:val="00BB0E1F"/>
    <w:rsid w:val="00BB27E0"/>
    <w:rsid w:val="00BB43C9"/>
    <w:rsid w:val="00BB50E8"/>
    <w:rsid w:val="00BB5FD9"/>
    <w:rsid w:val="00BC07A2"/>
    <w:rsid w:val="00BC2A19"/>
    <w:rsid w:val="00BC3591"/>
    <w:rsid w:val="00BC661A"/>
    <w:rsid w:val="00BC6F9B"/>
    <w:rsid w:val="00BC72B3"/>
    <w:rsid w:val="00BC77A5"/>
    <w:rsid w:val="00BD11E3"/>
    <w:rsid w:val="00BD4B69"/>
    <w:rsid w:val="00BD5C08"/>
    <w:rsid w:val="00BE5D7C"/>
    <w:rsid w:val="00BF0267"/>
    <w:rsid w:val="00BF23B8"/>
    <w:rsid w:val="00BF3F2F"/>
    <w:rsid w:val="00BF48B9"/>
    <w:rsid w:val="00C00A01"/>
    <w:rsid w:val="00C00A73"/>
    <w:rsid w:val="00C02168"/>
    <w:rsid w:val="00C0736C"/>
    <w:rsid w:val="00C07D5A"/>
    <w:rsid w:val="00C107EE"/>
    <w:rsid w:val="00C10AF6"/>
    <w:rsid w:val="00C11293"/>
    <w:rsid w:val="00C12454"/>
    <w:rsid w:val="00C13288"/>
    <w:rsid w:val="00C16F45"/>
    <w:rsid w:val="00C17741"/>
    <w:rsid w:val="00C24398"/>
    <w:rsid w:val="00C3099C"/>
    <w:rsid w:val="00C31699"/>
    <w:rsid w:val="00C35CA9"/>
    <w:rsid w:val="00C367CE"/>
    <w:rsid w:val="00C36A7B"/>
    <w:rsid w:val="00C40212"/>
    <w:rsid w:val="00C428DA"/>
    <w:rsid w:val="00C5058A"/>
    <w:rsid w:val="00C528C3"/>
    <w:rsid w:val="00C5475B"/>
    <w:rsid w:val="00C5530B"/>
    <w:rsid w:val="00C60EB3"/>
    <w:rsid w:val="00C634DE"/>
    <w:rsid w:val="00C6384D"/>
    <w:rsid w:val="00C660FA"/>
    <w:rsid w:val="00C66A8C"/>
    <w:rsid w:val="00C67CC6"/>
    <w:rsid w:val="00C72DDD"/>
    <w:rsid w:val="00C72E1A"/>
    <w:rsid w:val="00C774EF"/>
    <w:rsid w:val="00C800F9"/>
    <w:rsid w:val="00C80877"/>
    <w:rsid w:val="00C81513"/>
    <w:rsid w:val="00C82900"/>
    <w:rsid w:val="00C84B27"/>
    <w:rsid w:val="00C862AD"/>
    <w:rsid w:val="00C9270B"/>
    <w:rsid w:val="00CA16CA"/>
    <w:rsid w:val="00CA33C7"/>
    <w:rsid w:val="00CA3439"/>
    <w:rsid w:val="00CA7EED"/>
    <w:rsid w:val="00CB3305"/>
    <w:rsid w:val="00CB4225"/>
    <w:rsid w:val="00CB525E"/>
    <w:rsid w:val="00CC0533"/>
    <w:rsid w:val="00CC29E8"/>
    <w:rsid w:val="00CC4051"/>
    <w:rsid w:val="00CC6662"/>
    <w:rsid w:val="00CD0203"/>
    <w:rsid w:val="00CD0849"/>
    <w:rsid w:val="00CD66F4"/>
    <w:rsid w:val="00CE678F"/>
    <w:rsid w:val="00CE7C17"/>
    <w:rsid w:val="00CF0266"/>
    <w:rsid w:val="00D04723"/>
    <w:rsid w:val="00D04955"/>
    <w:rsid w:val="00D06EB7"/>
    <w:rsid w:val="00D1149B"/>
    <w:rsid w:val="00D1346E"/>
    <w:rsid w:val="00D15907"/>
    <w:rsid w:val="00D22536"/>
    <w:rsid w:val="00D33331"/>
    <w:rsid w:val="00D334E6"/>
    <w:rsid w:val="00D350F5"/>
    <w:rsid w:val="00D35A91"/>
    <w:rsid w:val="00D36438"/>
    <w:rsid w:val="00D408CB"/>
    <w:rsid w:val="00D426D5"/>
    <w:rsid w:val="00D42FB9"/>
    <w:rsid w:val="00D4600A"/>
    <w:rsid w:val="00D46A72"/>
    <w:rsid w:val="00D51076"/>
    <w:rsid w:val="00D51B02"/>
    <w:rsid w:val="00D52913"/>
    <w:rsid w:val="00D54276"/>
    <w:rsid w:val="00D55DA4"/>
    <w:rsid w:val="00D56A8B"/>
    <w:rsid w:val="00D60CBA"/>
    <w:rsid w:val="00D678F0"/>
    <w:rsid w:val="00D72C24"/>
    <w:rsid w:val="00D77B77"/>
    <w:rsid w:val="00D80E23"/>
    <w:rsid w:val="00D81F0E"/>
    <w:rsid w:val="00D8238F"/>
    <w:rsid w:val="00D82680"/>
    <w:rsid w:val="00D85CD6"/>
    <w:rsid w:val="00D91DAB"/>
    <w:rsid w:val="00D9216C"/>
    <w:rsid w:val="00D92173"/>
    <w:rsid w:val="00D92904"/>
    <w:rsid w:val="00D93C33"/>
    <w:rsid w:val="00D95047"/>
    <w:rsid w:val="00DA4244"/>
    <w:rsid w:val="00DA48BD"/>
    <w:rsid w:val="00DA7BBE"/>
    <w:rsid w:val="00DB121B"/>
    <w:rsid w:val="00DB3972"/>
    <w:rsid w:val="00DD190C"/>
    <w:rsid w:val="00DD4C9E"/>
    <w:rsid w:val="00DD60D7"/>
    <w:rsid w:val="00DE2C83"/>
    <w:rsid w:val="00DE693A"/>
    <w:rsid w:val="00DF0AE4"/>
    <w:rsid w:val="00DF33B7"/>
    <w:rsid w:val="00DF55F6"/>
    <w:rsid w:val="00DF5874"/>
    <w:rsid w:val="00DF6EFB"/>
    <w:rsid w:val="00DF7F78"/>
    <w:rsid w:val="00E013D5"/>
    <w:rsid w:val="00E01854"/>
    <w:rsid w:val="00E020EE"/>
    <w:rsid w:val="00E05CE1"/>
    <w:rsid w:val="00E110FC"/>
    <w:rsid w:val="00E1695F"/>
    <w:rsid w:val="00E23037"/>
    <w:rsid w:val="00E23F37"/>
    <w:rsid w:val="00E26EA8"/>
    <w:rsid w:val="00E37EA7"/>
    <w:rsid w:val="00E41958"/>
    <w:rsid w:val="00E43A31"/>
    <w:rsid w:val="00E43C05"/>
    <w:rsid w:val="00E51B00"/>
    <w:rsid w:val="00E5623E"/>
    <w:rsid w:val="00E57EB4"/>
    <w:rsid w:val="00E60FA6"/>
    <w:rsid w:val="00E70029"/>
    <w:rsid w:val="00E70C57"/>
    <w:rsid w:val="00E718E1"/>
    <w:rsid w:val="00E723D4"/>
    <w:rsid w:val="00E72561"/>
    <w:rsid w:val="00E72859"/>
    <w:rsid w:val="00E72C4E"/>
    <w:rsid w:val="00E75BF7"/>
    <w:rsid w:val="00E81AB6"/>
    <w:rsid w:val="00E925BD"/>
    <w:rsid w:val="00E92673"/>
    <w:rsid w:val="00E95071"/>
    <w:rsid w:val="00E9664B"/>
    <w:rsid w:val="00EA0C6F"/>
    <w:rsid w:val="00EA146A"/>
    <w:rsid w:val="00EA6864"/>
    <w:rsid w:val="00EA6A5D"/>
    <w:rsid w:val="00EB5C0B"/>
    <w:rsid w:val="00EC04AA"/>
    <w:rsid w:val="00EC3167"/>
    <w:rsid w:val="00EC3581"/>
    <w:rsid w:val="00EC5A0D"/>
    <w:rsid w:val="00EC5B5F"/>
    <w:rsid w:val="00EC682C"/>
    <w:rsid w:val="00ED1386"/>
    <w:rsid w:val="00ED2987"/>
    <w:rsid w:val="00ED77C8"/>
    <w:rsid w:val="00EE159D"/>
    <w:rsid w:val="00EE1A21"/>
    <w:rsid w:val="00EE1DD0"/>
    <w:rsid w:val="00EE3550"/>
    <w:rsid w:val="00EE5A92"/>
    <w:rsid w:val="00EE6ADB"/>
    <w:rsid w:val="00EF2226"/>
    <w:rsid w:val="00EF29A7"/>
    <w:rsid w:val="00EF2C5A"/>
    <w:rsid w:val="00EF30C1"/>
    <w:rsid w:val="00EF7B56"/>
    <w:rsid w:val="00F02A9F"/>
    <w:rsid w:val="00F03CF9"/>
    <w:rsid w:val="00F059EF"/>
    <w:rsid w:val="00F069FA"/>
    <w:rsid w:val="00F171BD"/>
    <w:rsid w:val="00F21635"/>
    <w:rsid w:val="00F21D9C"/>
    <w:rsid w:val="00F240B4"/>
    <w:rsid w:val="00F30A86"/>
    <w:rsid w:val="00F30EA7"/>
    <w:rsid w:val="00F310AD"/>
    <w:rsid w:val="00F34F2D"/>
    <w:rsid w:val="00F3729E"/>
    <w:rsid w:val="00F40A36"/>
    <w:rsid w:val="00F40D96"/>
    <w:rsid w:val="00F40FBA"/>
    <w:rsid w:val="00F42A32"/>
    <w:rsid w:val="00F44132"/>
    <w:rsid w:val="00F458FE"/>
    <w:rsid w:val="00F46384"/>
    <w:rsid w:val="00F47B65"/>
    <w:rsid w:val="00F507BB"/>
    <w:rsid w:val="00F53029"/>
    <w:rsid w:val="00F549B9"/>
    <w:rsid w:val="00F56D93"/>
    <w:rsid w:val="00F61603"/>
    <w:rsid w:val="00F64BED"/>
    <w:rsid w:val="00F66FF2"/>
    <w:rsid w:val="00F677F1"/>
    <w:rsid w:val="00F67D62"/>
    <w:rsid w:val="00F70ED7"/>
    <w:rsid w:val="00F74905"/>
    <w:rsid w:val="00F838C0"/>
    <w:rsid w:val="00F83BC2"/>
    <w:rsid w:val="00F9062D"/>
    <w:rsid w:val="00F9136E"/>
    <w:rsid w:val="00F91ABD"/>
    <w:rsid w:val="00F9523A"/>
    <w:rsid w:val="00F97824"/>
    <w:rsid w:val="00FA07D8"/>
    <w:rsid w:val="00FA1E85"/>
    <w:rsid w:val="00FA4DD1"/>
    <w:rsid w:val="00FA5E13"/>
    <w:rsid w:val="00FB0EB8"/>
    <w:rsid w:val="00FB123A"/>
    <w:rsid w:val="00FB1EE0"/>
    <w:rsid w:val="00FB391B"/>
    <w:rsid w:val="00FC0853"/>
    <w:rsid w:val="00FC2A0D"/>
    <w:rsid w:val="00FC4341"/>
    <w:rsid w:val="00FC6EBA"/>
    <w:rsid w:val="00FC7513"/>
    <w:rsid w:val="00FC77AD"/>
    <w:rsid w:val="00FD3C2D"/>
    <w:rsid w:val="00FD5951"/>
    <w:rsid w:val="00FD6136"/>
    <w:rsid w:val="00FE0C1E"/>
    <w:rsid w:val="00FE28CD"/>
    <w:rsid w:val="00FE65D5"/>
    <w:rsid w:val="00FF3129"/>
    <w:rsid w:val="00FF347B"/>
    <w:rsid w:val="00FF5C48"/>
    <w:rsid w:val="3F6C5947"/>
    <w:rsid w:val="539A5596"/>
    <w:rsid w:val="5D92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0"/>
    <w:pPr>
      <w:keepNext/>
      <w:keepLines/>
      <w:snapToGrid w:val="0"/>
      <w:spacing w:afterLines="100" w:line="360" w:lineRule="auto"/>
      <w:jc w:val="center"/>
      <w:outlineLvl w:val="0"/>
    </w:pPr>
    <w:rPr>
      <w:rFonts w:ascii="Calibri" w:hAnsi="Calibri" w:eastAsia="黑体"/>
      <w:kern w:val="44"/>
      <w:sz w:val="36"/>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adjustRightInd/>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adjustRightInd/>
      <w:snapToGrid w:val="0"/>
      <w:jc w:val="center"/>
    </w:pPr>
    <w:rPr>
      <w:rFonts w:asciiTheme="minorHAnsi" w:hAnsiTheme="minorHAnsi" w:eastAsiaTheme="minorEastAsia" w:cstheme="minorBidi"/>
      <w:sz w:val="18"/>
      <w:szCs w:val="18"/>
    </w:rPr>
  </w:style>
  <w:style w:type="paragraph" w:styleId="6">
    <w:name w:val="toc 1"/>
    <w:basedOn w:val="1"/>
    <w:next w:val="1"/>
    <w:unhideWhenUsed/>
    <w:qFormat/>
    <w:uiPriority w:val="39"/>
  </w:style>
  <w:style w:type="character" w:styleId="9">
    <w:name w:val="Hyperlink"/>
    <w:basedOn w:val="8"/>
    <w:unhideWhenUsed/>
    <w:qFormat/>
    <w:uiPriority w:val="99"/>
    <w:rPr>
      <w:color w:val="0563C1"/>
      <w:u w:val="single"/>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2"/>
    <w:qFormat/>
    <w:uiPriority w:val="0"/>
    <w:rPr>
      <w:rFonts w:ascii="Calibri" w:hAnsi="Calibri" w:eastAsia="黑体" w:cs="Times New Roman"/>
      <w:kern w:val="44"/>
      <w:sz w:val="36"/>
      <w:szCs w:val="44"/>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150</Pages>
  <Words>32922</Words>
  <Characters>117647</Characters>
  <Lines>1015</Lines>
  <Paragraphs>285</Paragraphs>
  <TotalTime>94</TotalTime>
  <ScaleCrop>false</ScaleCrop>
  <LinksUpToDate>false</LinksUpToDate>
  <CharactersWithSpaces>136819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2022-06-20T08:57:00Z</dcterms:created>
  <dc:creator>NTKO</dc:creator>
  <cp:lastModifiedBy>利玥漾</cp:lastModifiedBy>
  <dcterms:modified xsi:type="dcterms:W3CDTF">2022-06-27T09:03:39Z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3A9077E683E743C4A80167F5DCE20D35</vt:lpwstr>
  </property>
</Properties>
</file>